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697AB" w14:textId="750AD12D" w:rsidR="00AE268B" w:rsidRDefault="00512EF8" w:rsidP="00192AA5">
      <w:pPr>
        <w:pStyle w:val="Header"/>
        <w:tabs>
          <w:tab w:val="right" w:pos="9639"/>
        </w:tabs>
        <w:rPr>
          <w:bCs/>
          <w:noProof w:val="0"/>
          <w:sz w:val="24"/>
          <w:szCs w:val="24"/>
        </w:rPr>
      </w:pPr>
      <w:r w:rsidRPr="005A5862">
        <w:rPr>
          <w:bCs/>
          <w:noProof w:val="0"/>
          <w:sz w:val="24"/>
          <w:szCs w:val="24"/>
        </w:rPr>
        <w:t>3GPP TSG-RAN WG2 Meeting #</w:t>
      </w:r>
      <w:r w:rsidR="00AE268B">
        <w:rPr>
          <w:bCs/>
          <w:noProof w:val="0"/>
          <w:sz w:val="24"/>
          <w:szCs w:val="24"/>
        </w:rPr>
        <w:t>129</w:t>
      </w:r>
      <w:r w:rsidR="00A013ED" w:rsidRPr="00A013ED">
        <w:rPr>
          <w:bCs/>
          <w:sz w:val="24"/>
          <w:szCs w:val="24"/>
        </w:rPr>
        <w:t xml:space="preserve"> </w:t>
      </w:r>
      <w:r w:rsidR="00A013ED" w:rsidRPr="005A5862">
        <w:rPr>
          <w:bCs/>
          <w:noProof w:val="0"/>
          <w:sz w:val="24"/>
          <w:szCs w:val="24"/>
        </w:rPr>
        <w:tab/>
        <w:t>R2-2</w:t>
      </w:r>
      <w:r w:rsidR="00D13AE5">
        <w:rPr>
          <w:bCs/>
          <w:noProof w:val="0"/>
          <w:sz w:val="24"/>
          <w:szCs w:val="24"/>
        </w:rPr>
        <w:t>5</w:t>
      </w:r>
      <w:r w:rsidR="001D19E4">
        <w:rPr>
          <w:bCs/>
          <w:noProof w:val="0"/>
          <w:sz w:val="24"/>
          <w:szCs w:val="24"/>
        </w:rPr>
        <w:t>0055</w:t>
      </w:r>
      <w:r w:rsidR="00346588">
        <w:rPr>
          <w:bCs/>
          <w:noProof w:val="0"/>
          <w:sz w:val="24"/>
          <w:szCs w:val="24"/>
        </w:rPr>
        <w:t>3</w:t>
      </w:r>
      <w:r w:rsidR="00A013ED">
        <w:rPr>
          <w:bCs/>
          <w:noProof w:val="0"/>
          <w:sz w:val="24"/>
          <w:szCs w:val="24"/>
        </w:rPr>
        <w:t xml:space="preserve"> </w:t>
      </w:r>
    </w:p>
    <w:p w14:paraId="4C29F4E3" w14:textId="6C7B5A9C" w:rsidR="00AE268B" w:rsidRPr="005A5862" w:rsidRDefault="00AE268B" w:rsidP="00A64477">
      <w:pPr>
        <w:pStyle w:val="Header"/>
        <w:tabs>
          <w:tab w:val="right" w:pos="9639"/>
        </w:tabs>
        <w:rPr>
          <w:bCs/>
          <w:i/>
          <w:noProof w:val="0"/>
          <w:sz w:val="24"/>
          <w:szCs w:val="24"/>
        </w:rPr>
      </w:pPr>
      <w:r>
        <w:rPr>
          <w:bCs/>
          <w:noProof w:val="0"/>
          <w:sz w:val="24"/>
          <w:szCs w:val="24"/>
        </w:rPr>
        <w:t>Athens, Greece, 17-21 Feb. 2025</w:t>
      </w:r>
    </w:p>
    <w:p w14:paraId="403CB9C0" w14:textId="0E15B569" w:rsidR="00A209D6" w:rsidRPr="00192AA5" w:rsidRDefault="00512EF8" w:rsidP="00192AA5">
      <w:pPr>
        <w:pStyle w:val="Header"/>
        <w:tabs>
          <w:tab w:val="right" w:pos="9639"/>
        </w:tabs>
        <w:rPr>
          <w:i/>
          <w:sz w:val="24"/>
          <w:lang w:val="en-US"/>
        </w:rPr>
      </w:pPr>
      <w:r w:rsidRPr="00192AA5">
        <w:rPr>
          <w:sz w:val="24"/>
          <w:lang w:val="en-US"/>
        </w:rPr>
        <w:tab/>
      </w:r>
    </w:p>
    <w:p w14:paraId="4D90A83B" w14:textId="77777777" w:rsidR="00512EF8" w:rsidRPr="00192AA5" w:rsidRDefault="00512EF8" w:rsidP="00512EF8">
      <w:pPr>
        <w:pStyle w:val="Header"/>
        <w:rPr>
          <w:sz w:val="24"/>
          <w:lang w:val="en-US"/>
        </w:rPr>
      </w:pPr>
    </w:p>
    <w:p w14:paraId="310B92C9" w14:textId="510E1569" w:rsidR="00446C3A" w:rsidRPr="00192AA5" w:rsidRDefault="00446C3A" w:rsidP="00446C3A">
      <w:pPr>
        <w:pStyle w:val="CRCoverPage"/>
        <w:tabs>
          <w:tab w:val="left" w:pos="1985"/>
        </w:tabs>
        <w:rPr>
          <w:rFonts w:cs="Arial"/>
          <w:b/>
          <w:sz w:val="24"/>
          <w:lang w:val="en-US" w:eastAsia="ja-JP"/>
        </w:rPr>
      </w:pPr>
      <w:r w:rsidRPr="00192AA5">
        <w:rPr>
          <w:rFonts w:cs="Arial"/>
          <w:b/>
          <w:sz w:val="24"/>
          <w:lang w:val="en-US"/>
        </w:rPr>
        <w:t>Agenda item:</w:t>
      </w:r>
      <w:r w:rsidRPr="00192AA5">
        <w:rPr>
          <w:rFonts w:cs="Arial"/>
          <w:b/>
          <w:sz w:val="24"/>
          <w:lang w:val="en-US"/>
        </w:rPr>
        <w:tab/>
      </w:r>
      <w:r w:rsidR="001D714E" w:rsidRPr="00192AA5">
        <w:rPr>
          <w:rFonts w:cs="Arial"/>
          <w:b/>
          <w:sz w:val="24"/>
          <w:lang w:val="en-US" w:eastAsia="ja-JP"/>
        </w:rPr>
        <w:t>8.5.4</w:t>
      </w:r>
    </w:p>
    <w:p w14:paraId="73188B46" w14:textId="77777777" w:rsidR="00446C3A" w:rsidRPr="00C461E2" w:rsidRDefault="00446C3A" w:rsidP="00446C3A">
      <w:pPr>
        <w:tabs>
          <w:tab w:val="left" w:pos="1985"/>
        </w:tabs>
        <w:ind w:left="1985" w:hanging="1985"/>
        <w:rPr>
          <w:rFonts w:ascii="Arial" w:hAnsi="Arial" w:cs="Arial"/>
          <w:b/>
          <w:bCs/>
          <w:sz w:val="24"/>
        </w:rPr>
      </w:pPr>
      <w:r w:rsidRPr="00C461E2">
        <w:rPr>
          <w:rFonts w:ascii="Arial" w:hAnsi="Arial" w:cs="Arial"/>
          <w:b/>
          <w:bCs/>
          <w:sz w:val="24"/>
        </w:rPr>
        <w:t>Source:</w:t>
      </w:r>
      <w:r w:rsidRPr="00C461E2">
        <w:rPr>
          <w:rFonts w:ascii="Arial" w:hAnsi="Arial" w:cs="Arial"/>
          <w:b/>
          <w:bCs/>
          <w:sz w:val="24"/>
        </w:rPr>
        <w:tab/>
        <w:t>Nokia, Nokia Shanghai Bell</w:t>
      </w:r>
    </w:p>
    <w:p w14:paraId="553D264F" w14:textId="7C0B8C5B" w:rsidR="00446C3A" w:rsidRPr="00C461E2" w:rsidRDefault="00446C3A" w:rsidP="00446C3A">
      <w:pPr>
        <w:ind w:left="1985" w:hanging="1985"/>
        <w:rPr>
          <w:rFonts w:ascii="Arial" w:hAnsi="Arial" w:cs="Arial"/>
          <w:b/>
          <w:bCs/>
          <w:sz w:val="24"/>
        </w:rPr>
      </w:pPr>
      <w:r w:rsidRPr="00C461E2">
        <w:rPr>
          <w:rFonts w:ascii="Arial" w:hAnsi="Arial" w:cs="Arial"/>
          <w:b/>
          <w:bCs/>
          <w:sz w:val="24"/>
        </w:rPr>
        <w:t>Title:</w:t>
      </w:r>
      <w:r w:rsidRPr="00C461E2">
        <w:rPr>
          <w:rFonts w:ascii="Arial" w:hAnsi="Arial" w:cs="Arial"/>
          <w:b/>
          <w:bCs/>
          <w:sz w:val="24"/>
        </w:rPr>
        <w:tab/>
      </w:r>
      <w:r w:rsidR="001C69BC" w:rsidRPr="00C461E2">
        <w:rPr>
          <w:rFonts w:ascii="Arial" w:hAnsi="Arial" w:cs="Arial"/>
          <w:b/>
          <w:bCs/>
          <w:sz w:val="24"/>
        </w:rPr>
        <w:t>On Adaptation of common signal/channel transmissions for NES</w:t>
      </w:r>
    </w:p>
    <w:p w14:paraId="25F387E8" w14:textId="3AEEC813" w:rsidR="00446C3A" w:rsidRPr="00C461E2" w:rsidRDefault="00446C3A" w:rsidP="00446C3A">
      <w:pPr>
        <w:ind w:left="1985" w:hanging="1985"/>
        <w:rPr>
          <w:rFonts w:ascii="Arial" w:hAnsi="Arial" w:cs="Arial"/>
          <w:b/>
          <w:bCs/>
          <w:sz w:val="24"/>
        </w:rPr>
      </w:pPr>
      <w:r w:rsidRPr="00C461E2">
        <w:rPr>
          <w:rFonts w:ascii="Arial" w:hAnsi="Arial" w:cs="Arial"/>
          <w:b/>
          <w:bCs/>
          <w:sz w:val="24"/>
        </w:rPr>
        <w:t>WID/SID:</w:t>
      </w:r>
      <w:r w:rsidRPr="00C461E2">
        <w:rPr>
          <w:rFonts w:ascii="Arial" w:hAnsi="Arial" w:cs="Arial"/>
          <w:b/>
          <w:bCs/>
          <w:sz w:val="24"/>
        </w:rPr>
        <w:tab/>
      </w:r>
      <w:r w:rsidR="001D714E" w:rsidRPr="00C461E2">
        <w:rPr>
          <w:rFonts w:ascii="Arial" w:hAnsi="Arial" w:cs="Arial"/>
          <w:b/>
          <w:bCs/>
          <w:sz w:val="24"/>
        </w:rPr>
        <w:t>Netw_Energy_NR_enh</w:t>
      </w:r>
    </w:p>
    <w:p w14:paraId="6FEB19D6" w14:textId="77777777" w:rsidR="00446C3A" w:rsidRPr="00C461E2" w:rsidRDefault="00446C3A" w:rsidP="00446C3A">
      <w:pPr>
        <w:tabs>
          <w:tab w:val="left" w:pos="1985"/>
        </w:tabs>
        <w:rPr>
          <w:rFonts w:ascii="Arial" w:hAnsi="Arial" w:cs="Arial"/>
          <w:b/>
          <w:bCs/>
          <w:sz w:val="24"/>
        </w:rPr>
      </w:pPr>
      <w:r w:rsidRPr="00C461E2">
        <w:rPr>
          <w:rFonts w:ascii="Arial" w:hAnsi="Arial" w:cs="Arial"/>
          <w:b/>
          <w:bCs/>
          <w:sz w:val="24"/>
        </w:rPr>
        <w:t>Document for:</w:t>
      </w:r>
      <w:r w:rsidRPr="00C461E2">
        <w:rPr>
          <w:rFonts w:ascii="Arial" w:hAnsi="Arial" w:cs="Arial"/>
          <w:b/>
          <w:bCs/>
          <w:sz w:val="24"/>
        </w:rPr>
        <w:tab/>
        <w:t>Discussion and Decision</w:t>
      </w:r>
    </w:p>
    <w:p w14:paraId="294B1FC1" w14:textId="77777777" w:rsidR="00A209D6" w:rsidRPr="00C461E2" w:rsidRDefault="00A209D6" w:rsidP="00A209D6">
      <w:pPr>
        <w:pStyle w:val="Heading1"/>
        <w:rPr>
          <w:lang w:val="en-US"/>
        </w:rPr>
      </w:pPr>
      <w:r w:rsidRPr="00C461E2">
        <w:rPr>
          <w:lang w:val="en-US"/>
        </w:rPr>
        <w:t>1</w:t>
      </w:r>
      <w:r w:rsidRPr="00C461E2">
        <w:rPr>
          <w:lang w:val="en-US"/>
        </w:rPr>
        <w:tab/>
        <w:t>Introduction</w:t>
      </w:r>
    </w:p>
    <w:p w14:paraId="4854EE57" w14:textId="0531D70E" w:rsidR="009339CB" w:rsidRPr="00C461E2" w:rsidRDefault="001D714E" w:rsidP="009339CB">
      <w:r w:rsidRPr="00C461E2">
        <w:t>In this contribution we discuss aspects related to the potential adaptations of the common signal/channel transmissions.</w:t>
      </w:r>
    </w:p>
    <w:p w14:paraId="5982B445" w14:textId="543DA2B0" w:rsidR="009339CB" w:rsidRPr="0093123F" w:rsidRDefault="00CE643D" w:rsidP="003F3317">
      <w:pPr>
        <w:pStyle w:val="Heading1"/>
        <w:rPr>
          <w:lang w:val="en-US"/>
        </w:rPr>
      </w:pPr>
      <w:r w:rsidRPr="00C461E2">
        <w:rPr>
          <w:lang w:val="en-US"/>
        </w:rPr>
        <w:t>2</w:t>
      </w:r>
      <w:r w:rsidRPr="00C461E2">
        <w:rPr>
          <w:lang w:val="en-US"/>
        </w:rPr>
        <w:tab/>
        <w:t>Adaptation of SSB in time domain</w:t>
      </w:r>
    </w:p>
    <w:p w14:paraId="74532743" w14:textId="34F7C9B8" w:rsidR="00130E54" w:rsidRPr="002B517B" w:rsidRDefault="007351FD" w:rsidP="00CA75B9">
      <w:pPr>
        <w:rPr>
          <w:sz w:val="22"/>
          <w:szCs w:val="22"/>
        </w:rPr>
      </w:pPr>
      <w:r w:rsidRPr="002B517B">
        <w:rPr>
          <w:sz w:val="22"/>
          <w:szCs w:val="22"/>
        </w:rPr>
        <w:t xml:space="preserve">During the </w:t>
      </w:r>
      <w:r w:rsidR="00B35677" w:rsidRPr="002B517B">
        <w:rPr>
          <w:sz w:val="22"/>
          <w:szCs w:val="22"/>
        </w:rPr>
        <w:t xml:space="preserve">previous </w:t>
      </w:r>
      <w:r w:rsidRPr="002B517B">
        <w:rPr>
          <w:sz w:val="22"/>
          <w:szCs w:val="22"/>
        </w:rPr>
        <w:t>meeting</w:t>
      </w:r>
      <w:r w:rsidR="00130E54" w:rsidRPr="002B517B">
        <w:rPr>
          <w:sz w:val="22"/>
          <w:szCs w:val="22"/>
        </w:rPr>
        <w:t>s</w:t>
      </w:r>
      <w:r w:rsidRPr="002B517B">
        <w:rPr>
          <w:sz w:val="22"/>
          <w:szCs w:val="22"/>
        </w:rPr>
        <w:t xml:space="preserve">, </w:t>
      </w:r>
      <w:r w:rsidR="00B35677" w:rsidRPr="002B517B">
        <w:rPr>
          <w:sz w:val="22"/>
          <w:szCs w:val="22"/>
        </w:rPr>
        <w:t xml:space="preserve">there were no </w:t>
      </w:r>
      <w:r w:rsidR="00130E54" w:rsidRPr="002B517B">
        <w:rPr>
          <w:sz w:val="22"/>
          <w:szCs w:val="22"/>
        </w:rPr>
        <w:t>RAN2</w:t>
      </w:r>
      <w:r w:rsidR="00B35677" w:rsidRPr="002B517B">
        <w:rPr>
          <w:sz w:val="22"/>
          <w:szCs w:val="22"/>
        </w:rPr>
        <w:t xml:space="preserve"> agreements on this topic.</w:t>
      </w:r>
      <w:r w:rsidR="005B5D45" w:rsidRPr="002B517B">
        <w:rPr>
          <w:sz w:val="22"/>
          <w:szCs w:val="22"/>
        </w:rPr>
        <w:t xml:space="preserve"> </w:t>
      </w:r>
      <w:r w:rsidR="00ED5A24" w:rsidRPr="00ED5A24">
        <w:rPr>
          <w:sz w:val="22"/>
          <w:szCs w:val="22"/>
        </w:rPr>
        <w:t>As per the current agreements, based on the understanding of the RAN1 agreements, Cases B2’ and B3’ of the RAN1#118 meeting agreement, have been accepted, there was no consensus to support Cases A2 and A3 (i.e., SSB adaptation in PCell) and only B1 remains open for further discussion SSB adaptation in the time domain.</w:t>
      </w:r>
    </w:p>
    <w:tbl>
      <w:tblPr>
        <w:tblStyle w:val="TableGrid"/>
        <w:tblW w:w="0" w:type="auto"/>
        <w:tblLook w:val="04A0" w:firstRow="1" w:lastRow="0" w:firstColumn="1" w:lastColumn="0" w:noHBand="0" w:noVBand="1"/>
      </w:tblPr>
      <w:tblGrid>
        <w:gridCol w:w="9631"/>
      </w:tblGrid>
      <w:tr w:rsidR="00AE6849" w14:paraId="0FFF665E" w14:textId="77777777" w:rsidTr="00AE6849">
        <w:tc>
          <w:tcPr>
            <w:tcW w:w="9631" w:type="dxa"/>
          </w:tcPr>
          <w:p w14:paraId="54B90A43" w14:textId="77777777" w:rsidR="00AE6849" w:rsidRPr="00AC0C2B" w:rsidRDefault="00AE6849" w:rsidP="00AE6849">
            <w:pPr>
              <w:spacing w:after="0"/>
              <w:jc w:val="both"/>
              <w:rPr>
                <w:rFonts w:ascii="Arial" w:eastAsia="Times New Roman" w:hAnsi="Arial" w:cs="Arial"/>
              </w:rPr>
            </w:pPr>
            <w:r w:rsidRPr="00AC0C2B">
              <w:rPr>
                <w:rFonts w:ascii="Times" w:eastAsia="Times New Roman" w:hAnsi="Times" w:cs="Times"/>
                <w:b/>
                <w:bCs/>
                <w:position w:val="-1"/>
                <w:highlight w:val="green"/>
              </w:rPr>
              <w:t>Agreement</w:t>
            </w:r>
            <w:r w:rsidRPr="00AC0C2B">
              <w:rPr>
                <w:rFonts w:ascii="Times" w:eastAsia="Times New Roman" w:hAnsi="Times" w:cs="Times"/>
              </w:rPr>
              <w:t>​</w:t>
            </w:r>
            <w:r>
              <w:rPr>
                <w:rFonts w:ascii="Times" w:eastAsia="Times New Roman" w:hAnsi="Times" w:cs="Times"/>
              </w:rPr>
              <w:t xml:space="preserve"> – [RAN1#118]</w:t>
            </w:r>
          </w:p>
          <w:p w14:paraId="59CB7E76" w14:textId="77777777" w:rsidR="00AE6849" w:rsidRPr="00AC0C2B" w:rsidRDefault="00AE6849" w:rsidP="00AE6849">
            <w:pPr>
              <w:spacing w:after="0"/>
              <w:jc w:val="both"/>
              <w:rPr>
                <w:rFonts w:eastAsia="Times New Roman"/>
                <w:position w:val="-1"/>
              </w:rPr>
            </w:pPr>
            <w:r w:rsidRPr="00AC0C2B">
              <w:rPr>
                <w:rFonts w:eastAsia="Times New Roman"/>
                <w:position w:val="-1"/>
              </w:rPr>
              <w:t>For adaptation mechanism(s) of SSB in time-domain,</w:t>
            </w:r>
          </w:p>
          <w:p w14:paraId="6EBF51B3" w14:textId="77777777" w:rsidR="00AE6849" w:rsidRPr="00AC0C2B" w:rsidRDefault="00AE6849" w:rsidP="00AE6849">
            <w:pPr>
              <w:pStyle w:val="ListParagraph"/>
              <w:numPr>
                <w:ilvl w:val="2"/>
                <w:numId w:val="51"/>
              </w:numPr>
              <w:spacing w:after="0"/>
              <w:jc w:val="both"/>
              <w:textAlignment w:val="baseline"/>
              <w:rPr>
                <w:rFonts w:eastAsia="Times New Roman"/>
                <w:position w:val="-1"/>
              </w:rPr>
            </w:pPr>
            <w:r w:rsidRPr="00AC0C2B">
              <w:rPr>
                <w:rFonts w:eastAsia="Times New Roman"/>
                <w:position w:val="-1"/>
              </w:rPr>
              <w:t xml:space="preserve">For Rel-19 NES-capable UE’s PCell (Connected mode), adaptation of CD-SSB on sync raster is not supported </w:t>
            </w:r>
          </w:p>
          <w:p w14:paraId="3CAE4241" w14:textId="77777777" w:rsidR="00AE6849" w:rsidRPr="00AC0C2B" w:rsidRDefault="00AE6849" w:rsidP="00AE6849">
            <w:pPr>
              <w:pStyle w:val="ListParagraph"/>
              <w:numPr>
                <w:ilvl w:val="3"/>
                <w:numId w:val="51"/>
              </w:numPr>
              <w:spacing w:after="0"/>
              <w:jc w:val="both"/>
              <w:textAlignment w:val="baseline"/>
              <w:rPr>
                <w:rFonts w:eastAsia="Times New Roman"/>
                <w:position w:val="-1"/>
              </w:rPr>
            </w:pPr>
            <w:r w:rsidRPr="00AC0C2B">
              <w:rPr>
                <w:rFonts w:eastAsia="Times New Roman"/>
                <w:position w:val="-1"/>
              </w:rPr>
              <w:t>FFS: Adaptation for SSB that is not CD-SSB is supported (A2)</w:t>
            </w:r>
          </w:p>
          <w:p w14:paraId="043085C4" w14:textId="77777777" w:rsidR="00AE6849" w:rsidRPr="00AC0C2B" w:rsidRDefault="00AE6849" w:rsidP="00AE6849">
            <w:pPr>
              <w:pStyle w:val="ListParagraph"/>
              <w:numPr>
                <w:ilvl w:val="3"/>
                <w:numId w:val="51"/>
              </w:numPr>
              <w:spacing w:after="0"/>
              <w:jc w:val="both"/>
              <w:textAlignment w:val="baseline"/>
              <w:rPr>
                <w:rFonts w:eastAsia="Times New Roman"/>
                <w:position w:val="-1"/>
              </w:rPr>
            </w:pPr>
            <w:r w:rsidRPr="00AC0C2B">
              <w:rPr>
                <w:rFonts w:eastAsia="Times New Roman"/>
                <w:position w:val="-1"/>
              </w:rPr>
              <w:t>FFS: Adaptation for SSB not on sync raster is supported (A3)</w:t>
            </w:r>
          </w:p>
          <w:p w14:paraId="548874FD" w14:textId="77777777" w:rsidR="00AE6849" w:rsidRPr="00AC0C2B" w:rsidRDefault="00AE6849" w:rsidP="00AE6849">
            <w:pPr>
              <w:pStyle w:val="ListParagraph"/>
              <w:numPr>
                <w:ilvl w:val="2"/>
                <w:numId w:val="51"/>
              </w:numPr>
              <w:spacing w:after="0"/>
              <w:jc w:val="both"/>
              <w:textAlignment w:val="baseline"/>
              <w:rPr>
                <w:rFonts w:eastAsia="Times New Roman"/>
                <w:position w:val="-1"/>
              </w:rPr>
            </w:pPr>
            <w:r w:rsidRPr="00AC0C2B">
              <w:rPr>
                <w:rFonts w:eastAsia="Times New Roman"/>
                <w:position w:val="-1"/>
              </w:rPr>
              <w:t>For Rel-19 NES-capable UE’s SCell</w:t>
            </w:r>
          </w:p>
          <w:p w14:paraId="11FCDE03" w14:textId="77777777" w:rsidR="00AE6849" w:rsidRPr="00AC0C2B" w:rsidRDefault="00AE6849" w:rsidP="00AE6849">
            <w:pPr>
              <w:pStyle w:val="ListParagraph"/>
              <w:numPr>
                <w:ilvl w:val="3"/>
                <w:numId w:val="51"/>
              </w:numPr>
              <w:spacing w:after="0"/>
              <w:jc w:val="both"/>
              <w:textAlignment w:val="baseline"/>
              <w:rPr>
                <w:rFonts w:eastAsia="Times New Roman"/>
                <w:position w:val="-1"/>
              </w:rPr>
            </w:pPr>
            <w:r w:rsidRPr="00AC0C2B">
              <w:rPr>
                <w:rFonts w:eastAsia="Times New Roman"/>
                <w:position w:val="-1"/>
              </w:rPr>
              <w:t>Adaptation of SSB configured for the SCell is supported for the following cases</w:t>
            </w:r>
          </w:p>
          <w:p w14:paraId="2CDDD33C" w14:textId="77777777" w:rsidR="00AE6849" w:rsidRPr="00AC0C2B" w:rsidRDefault="00AE6849" w:rsidP="00AE6849">
            <w:pPr>
              <w:pStyle w:val="ListParagraph"/>
              <w:numPr>
                <w:ilvl w:val="4"/>
                <w:numId w:val="51"/>
              </w:numPr>
              <w:spacing w:after="0"/>
              <w:jc w:val="both"/>
              <w:textAlignment w:val="baseline"/>
              <w:rPr>
                <w:rFonts w:eastAsia="Times New Roman"/>
                <w:position w:val="-1"/>
              </w:rPr>
            </w:pPr>
            <w:r w:rsidRPr="00AC0C2B">
              <w:rPr>
                <w:rFonts w:eastAsia="Times New Roman"/>
                <w:position w:val="-1"/>
              </w:rPr>
              <w:t>FFS: Adaptation for CD-SSB (B1) including UE impact compared to legacy operation where the SSB is configured with periodicity&gt;20msec for SCell</w:t>
            </w:r>
          </w:p>
          <w:p w14:paraId="54FD7CD6" w14:textId="77777777" w:rsidR="00AE6849" w:rsidRPr="00AC0C2B" w:rsidRDefault="00AE6849" w:rsidP="00AE6849">
            <w:pPr>
              <w:pStyle w:val="ListParagraph"/>
              <w:numPr>
                <w:ilvl w:val="4"/>
                <w:numId w:val="51"/>
              </w:numPr>
              <w:spacing w:after="0"/>
              <w:jc w:val="both"/>
              <w:textAlignment w:val="baseline"/>
              <w:rPr>
                <w:rFonts w:eastAsia="Times New Roman"/>
                <w:position w:val="-1"/>
              </w:rPr>
            </w:pPr>
            <w:r w:rsidRPr="00AC0C2B">
              <w:rPr>
                <w:rFonts w:eastAsia="Times New Roman"/>
                <w:position w:val="-1"/>
              </w:rPr>
              <w:t>Adaptation for SSB that is not CD-SSB on sync raster (B2’)</w:t>
            </w:r>
          </w:p>
          <w:p w14:paraId="395BC0C7" w14:textId="72665DE5" w:rsidR="00AE6849" w:rsidRPr="00FB3021" w:rsidRDefault="00AE6849" w:rsidP="00FB3021">
            <w:pPr>
              <w:pStyle w:val="ListParagraph"/>
              <w:numPr>
                <w:ilvl w:val="4"/>
                <w:numId w:val="51"/>
              </w:numPr>
              <w:overflowPunct w:val="0"/>
              <w:autoSpaceDE w:val="0"/>
              <w:autoSpaceDN w:val="0"/>
              <w:adjustRightInd w:val="0"/>
              <w:spacing w:after="60"/>
              <w:ind w:left="360"/>
              <w:jc w:val="both"/>
              <w:textAlignment w:val="baseline"/>
              <w:rPr>
                <w:rFonts w:eastAsia="Times New Roman"/>
                <w:position w:val="-1"/>
                <w:sz w:val="18"/>
                <w:szCs w:val="18"/>
              </w:rPr>
            </w:pPr>
            <w:r w:rsidRPr="00AC0C2B">
              <w:rPr>
                <w:rFonts w:eastAsia="Times New Roman"/>
                <w:position w:val="-1"/>
              </w:rPr>
              <w:t>Adaptation for SSB that is not CD-SSB not on sync raster (B3’)</w:t>
            </w:r>
          </w:p>
        </w:tc>
      </w:tr>
    </w:tbl>
    <w:p w14:paraId="3865895A" w14:textId="77777777" w:rsidR="007351FD" w:rsidRPr="00C461E2" w:rsidRDefault="007351FD" w:rsidP="007351FD">
      <w:pPr>
        <w:jc w:val="both"/>
        <w:rPr>
          <w:sz w:val="22"/>
          <w:szCs w:val="22"/>
        </w:rPr>
      </w:pPr>
    </w:p>
    <w:p w14:paraId="6C33E54D" w14:textId="77777777" w:rsidR="00723D2F" w:rsidRDefault="00401CE6" w:rsidP="00EC1CEE">
      <w:pPr>
        <w:spacing w:before="240" w:after="0"/>
        <w:jc w:val="both"/>
        <w:rPr>
          <w:sz w:val="22"/>
          <w:szCs w:val="22"/>
        </w:rPr>
      </w:pPr>
      <w:r w:rsidRPr="00A24C13">
        <w:rPr>
          <w:sz w:val="22"/>
          <w:szCs w:val="22"/>
        </w:rPr>
        <w:t>A scenario where adaptation of the SSB burst periodicity can be applied is the activation of an SCell</w:t>
      </w:r>
      <w:r w:rsidRPr="00007580">
        <w:rPr>
          <w:sz w:val="22"/>
          <w:szCs w:val="22"/>
        </w:rPr>
        <w:t xml:space="preserve">. </w:t>
      </w:r>
      <w:r w:rsidRPr="00A24C13">
        <w:rPr>
          <w:sz w:val="22"/>
          <w:szCs w:val="22"/>
        </w:rPr>
        <w:t xml:space="preserve"> </w:t>
      </w:r>
    </w:p>
    <w:p w14:paraId="21D1A5AE" w14:textId="3855BDF4" w:rsidR="003E30F9" w:rsidRDefault="00401CE6" w:rsidP="00EC1CEE">
      <w:pPr>
        <w:spacing w:before="240" w:after="0"/>
        <w:jc w:val="both"/>
        <w:rPr>
          <w:sz w:val="22"/>
          <w:szCs w:val="22"/>
        </w:rPr>
      </w:pPr>
      <w:r w:rsidRPr="00A24C13">
        <w:rPr>
          <w:sz w:val="22"/>
          <w:szCs w:val="22"/>
        </w:rPr>
        <w:t>For example, a RAN1</w:t>
      </w:r>
      <w:r w:rsidR="00963DF4">
        <w:rPr>
          <w:sz w:val="22"/>
          <w:szCs w:val="22"/>
        </w:rPr>
        <w:t>#119</w:t>
      </w:r>
      <w:r w:rsidRPr="00A24C13">
        <w:rPr>
          <w:sz w:val="22"/>
          <w:szCs w:val="22"/>
        </w:rPr>
        <w:t xml:space="preserve"> agreement of </w:t>
      </w:r>
      <w:r w:rsidR="00375DD0">
        <w:rPr>
          <w:sz w:val="22"/>
          <w:szCs w:val="22"/>
        </w:rPr>
        <w:t xml:space="preserve">Objective </w:t>
      </w:r>
      <w:r w:rsidRPr="00A24C13">
        <w:rPr>
          <w:sz w:val="22"/>
          <w:szCs w:val="22"/>
        </w:rPr>
        <w:t xml:space="preserve">1 </w:t>
      </w:r>
      <w:r w:rsidR="00375DD0">
        <w:rPr>
          <w:sz w:val="22"/>
          <w:szCs w:val="22"/>
        </w:rPr>
        <w:t>(On-demand SSB</w:t>
      </w:r>
      <w:r w:rsidR="00AE4E60">
        <w:rPr>
          <w:sz w:val="22"/>
          <w:szCs w:val="22"/>
        </w:rPr>
        <w:t>, OD-SSB</w:t>
      </w:r>
      <w:r w:rsidR="00375DD0">
        <w:rPr>
          <w:sz w:val="22"/>
          <w:szCs w:val="22"/>
        </w:rPr>
        <w:t>)</w:t>
      </w:r>
      <w:r w:rsidRPr="00A24C13">
        <w:rPr>
          <w:sz w:val="22"/>
          <w:szCs w:val="22"/>
        </w:rPr>
        <w:t xml:space="preserve"> is: </w:t>
      </w:r>
    </w:p>
    <w:p w14:paraId="3EE91E04" w14:textId="77777777" w:rsidR="003E30F9" w:rsidRDefault="00401CE6" w:rsidP="00EC1CEE">
      <w:pPr>
        <w:jc w:val="both"/>
        <w:rPr>
          <w:rFonts w:cs="Arial"/>
          <w:sz w:val="22"/>
          <w:szCs w:val="28"/>
          <w:lang w:eastAsia="ko-KR"/>
        </w:rPr>
      </w:pPr>
      <w:r w:rsidRPr="00A24C13">
        <w:rPr>
          <w:sz w:val="22"/>
          <w:szCs w:val="22"/>
        </w:rPr>
        <w:t>“</w:t>
      </w:r>
      <w:r w:rsidRPr="003272DD">
        <w:rPr>
          <w:rFonts w:cs="Arial"/>
          <w:i/>
          <w:sz w:val="22"/>
          <w:szCs w:val="28"/>
          <w:lang w:eastAsia="zh-CN"/>
        </w:rPr>
        <w:t xml:space="preserve">The frequency location of on-demand SSB </w:t>
      </w:r>
      <w:r w:rsidRPr="003272DD">
        <w:rPr>
          <w:rFonts w:cs="Arial" w:hint="eastAsia"/>
          <w:i/>
          <w:sz w:val="22"/>
          <w:szCs w:val="28"/>
          <w:lang w:eastAsia="ko-KR"/>
        </w:rPr>
        <w:t>is the</w:t>
      </w:r>
      <w:r w:rsidRPr="003272DD">
        <w:rPr>
          <w:rFonts w:cs="Arial"/>
          <w:i/>
          <w:sz w:val="22"/>
          <w:szCs w:val="28"/>
          <w:lang w:eastAsia="zh-CN"/>
        </w:rPr>
        <w:t xml:space="preserve"> same </w:t>
      </w:r>
      <w:r w:rsidRPr="003272DD">
        <w:rPr>
          <w:rFonts w:cs="Arial" w:hint="eastAsia"/>
          <w:i/>
          <w:sz w:val="22"/>
          <w:szCs w:val="28"/>
          <w:lang w:eastAsia="ko-KR"/>
        </w:rPr>
        <w:t>as</w:t>
      </w:r>
      <w:r w:rsidRPr="003272DD">
        <w:rPr>
          <w:rFonts w:cs="Arial"/>
          <w:i/>
          <w:sz w:val="22"/>
          <w:szCs w:val="28"/>
          <w:lang w:eastAsia="zh-CN"/>
        </w:rPr>
        <w:t xml:space="preserve"> the frequency location of always-on SSB</w:t>
      </w:r>
      <w:r w:rsidRPr="003272DD">
        <w:rPr>
          <w:rFonts w:cs="Arial"/>
          <w:i/>
          <w:sz w:val="22"/>
          <w:szCs w:val="28"/>
          <w:lang w:eastAsia="ko-KR"/>
        </w:rPr>
        <w:t xml:space="preserve"> at least for the case where always-on SSB is not CD-SSB</w:t>
      </w:r>
      <w:r w:rsidRPr="00A24C13">
        <w:rPr>
          <w:rFonts w:cs="Arial"/>
          <w:sz w:val="22"/>
          <w:szCs w:val="28"/>
          <w:lang w:eastAsia="ko-KR"/>
        </w:rPr>
        <w:t xml:space="preserve">”. </w:t>
      </w:r>
    </w:p>
    <w:p w14:paraId="4B7BF4B9" w14:textId="3CF2FC2C" w:rsidR="00723901" w:rsidRDefault="00401CE6" w:rsidP="00EC1CEE">
      <w:pPr>
        <w:spacing w:before="240" w:after="0"/>
        <w:jc w:val="both"/>
        <w:rPr>
          <w:rFonts w:cs="Arial"/>
          <w:sz w:val="22"/>
          <w:szCs w:val="28"/>
          <w:lang w:eastAsia="ko-KR"/>
        </w:rPr>
      </w:pPr>
      <w:r w:rsidRPr="00A24C13">
        <w:rPr>
          <w:rFonts w:cs="Arial"/>
          <w:sz w:val="22"/>
          <w:szCs w:val="28"/>
          <w:lang w:eastAsia="ko-KR"/>
        </w:rPr>
        <w:t>A potential alternative to the agreement, namely Alt.2, is also provided, referring to the case where always-on SSB is not CD-SSB</w:t>
      </w:r>
      <w:r w:rsidR="00773966">
        <w:rPr>
          <w:rFonts w:cs="Arial"/>
          <w:sz w:val="22"/>
          <w:szCs w:val="28"/>
          <w:lang w:eastAsia="ko-KR"/>
        </w:rPr>
        <w:t>:</w:t>
      </w:r>
      <w:r w:rsidRPr="00A24C13">
        <w:rPr>
          <w:rFonts w:cs="Arial"/>
          <w:sz w:val="22"/>
          <w:szCs w:val="28"/>
          <w:lang w:eastAsia="ko-KR"/>
        </w:rPr>
        <w:t xml:space="preserve"> </w:t>
      </w:r>
    </w:p>
    <w:p w14:paraId="63BEE2E4" w14:textId="711546BF" w:rsidR="003272DD" w:rsidRDefault="003272DD" w:rsidP="00EC1CEE">
      <w:pPr>
        <w:jc w:val="both"/>
        <w:rPr>
          <w:rFonts w:cs="Arial"/>
          <w:sz w:val="22"/>
          <w:szCs w:val="28"/>
          <w:lang w:eastAsia="ko-KR"/>
        </w:rPr>
      </w:pPr>
      <w:r>
        <w:rPr>
          <w:rFonts w:cs="Arial"/>
          <w:sz w:val="22"/>
          <w:szCs w:val="28"/>
          <w:lang w:eastAsia="ko-KR"/>
        </w:rPr>
        <w:t>“</w:t>
      </w:r>
      <w:r w:rsidRPr="003272DD">
        <w:rPr>
          <w:rFonts w:cs="Arial"/>
          <w:i/>
          <w:iCs/>
          <w:sz w:val="22"/>
          <w:szCs w:val="28"/>
          <w:lang w:eastAsia="ko-KR"/>
        </w:rPr>
        <w:t>Alt 2: If always-on SSB is CD-SSB on a synchronization raster,</w:t>
      </w:r>
      <w:r w:rsidR="00401CE6" w:rsidRPr="003272DD">
        <w:rPr>
          <w:rFonts w:cs="Arial"/>
          <w:i/>
          <w:sz w:val="22"/>
          <w:szCs w:val="28"/>
          <w:lang w:eastAsia="ko-KR"/>
        </w:rPr>
        <w:t xml:space="preserve"> the frequency location of on-demand SSB </w:t>
      </w:r>
      <w:r w:rsidRPr="003272DD">
        <w:rPr>
          <w:rFonts w:cs="Arial"/>
          <w:i/>
          <w:iCs/>
          <w:sz w:val="22"/>
          <w:szCs w:val="28"/>
          <w:lang w:eastAsia="ko-KR"/>
        </w:rPr>
        <w:t xml:space="preserve">is </w:t>
      </w:r>
      <w:r w:rsidR="00401CE6" w:rsidRPr="003272DD">
        <w:rPr>
          <w:rFonts w:cs="Arial"/>
          <w:i/>
          <w:sz w:val="22"/>
          <w:szCs w:val="28"/>
          <w:lang w:eastAsia="ko-KR"/>
        </w:rPr>
        <w:t xml:space="preserve">the same </w:t>
      </w:r>
      <w:r w:rsidRPr="003272DD">
        <w:rPr>
          <w:rFonts w:cs="Arial"/>
          <w:i/>
          <w:iCs/>
          <w:sz w:val="22"/>
          <w:szCs w:val="28"/>
          <w:lang w:eastAsia="ko-KR"/>
        </w:rPr>
        <w:t xml:space="preserve">as the </w:t>
      </w:r>
      <w:r w:rsidR="00401CE6" w:rsidRPr="003272DD">
        <w:rPr>
          <w:rFonts w:cs="Arial"/>
          <w:i/>
          <w:sz w:val="22"/>
          <w:szCs w:val="28"/>
          <w:lang w:eastAsia="ko-KR"/>
        </w:rPr>
        <w:t>frequency location</w:t>
      </w:r>
      <w:r w:rsidRPr="003272DD">
        <w:rPr>
          <w:rFonts w:cs="Arial"/>
          <w:i/>
          <w:iCs/>
          <w:sz w:val="22"/>
          <w:szCs w:val="28"/>
          <w:lang w:eastAsia="ko-KR"/>
        </w:rPr>
        <w:t xml:space="preserve"> of always-on SSB.</w:t>
      </w:r>
      <w:r>
        <w:rPr>
          <w:rFonts w:cs="Arial"/>
          <w:sz w:val="22"/>
          <w:szCs w:val="28"/>
          <w:lang w:eastAsia="ko-KR"/>
        </w:rPr>
        <w:t>”</w:t>
      </w:r>
    </w:p>
    <w:p w14:paraId="2F778A60" w14:textId="2E1C8B1D" w:rsidR="00401CE6" w:rsidRDefault="006D2A19" w:rsidP="00401CE6">
      <w:pPr>
        <w:spacing w:before="240"/>
        <w:jc w:val="both"/>
        <w:rPr>
          <w:sz w:val="22"/>
          <w:szCs w:val="22"/>
        </w:rPr>
      </w:pPr>
      <w:r>
        <w:rPr>
          <w:sz w:val="22"/>
          <w:szCs w:val="22"/>
        </w:rPr>
        <w:t>T</w:t>
      </w:r>
      <w:r w:rsidR="00401CE6" w:rsidRPr="00A24C13">
        <w:rPr>
          <w:sz w:val="22"/>
          <w:szCs w:val="22"/>
        </w:rPr>
        <w:t>h</w:t>
      </w:r>
      <w:r w:rsidR="0086655E">
        <w:rPr>
          <w:sz w:val="22"/>
          <w:szCs w:val="22"/>
        </w:rPr>
        <w:t>is</w:t>
      </w:r>
      <w:r w:rsidR="00401CE6" w:rsidRPr="00A24C13">
        <w:rPr>
          <w:sz w:val="22"/>
          <w:szCs w:val="22"/>
        </w:rPr>
        <w:t xml:space="preserve"> agreement </w:t>
      </w:r>
      <w:r w:rsidR="0086655E">
        <w:rPr>
          <w:sz w:val="22"/>
          <w:szCs w:val="22"/>
        </w:rPr>
        <w:t>and alternative</w:t>
      </w:r>
      <w:r w:rsidR="00401CE6" w:rsidRPr="00A24C13">
        <w:rPr>
          <w:sz w:val="22"/>
          <w:szCs w:val="22"/>
        </w:rPr>
        <w:t xml:space="preserve"> can realize a scenario of faster SCell detection and activation by adapting the periodicity of the always-on SSBs. </w:t>
      </w:r>
      <w:r>
        <w:rPr>
          <w:sz w:val="22"/>
          <w:szCs w:val="22"/>
        </w:rPr>
        <w:t>In detail, i</w:t>
      </w:r>
      <w:r w:rsidR="00401CE6" w:rsidRPr="00A24C13">
        <w:rPr>
          <w:sz w:val="22"/>
          <w:szCs w:val="22"/>
        </w:rPr>
        <w:t>n both cases</w:t>
      </w:r>
      <w:r w:rsidR="00401CE6" w:rsidRPr="00A24C13">
        <w:rPr>
          <w:rFonts w:cs="Arial"/>
          <w:sz w:val="22"/>
          <w:szCs w:val="28"/>
          <w:lang w:eastAsia="ko-KR"/>
        </w:rPr>
        <w:t>,</w:t>
      </w:r>
      <w:r w:rsidR="00401CE6" w:rsidRPr="00A24C13">
        <w:rPr>
          <w:sz w:val="22"/>
          <w:szCs w:val="22"/>
        </w:rPr>
        <w:t xml:space="preserve"> the UE would be able to detect the always-ON SSB and OD-SSB in the same frequency location and </w:t>
      </w:r>
      <w:r w:rsidR="00EE4D84">
        <w:rPr>
          <w:sz w:val="22"/>
          <w:szCs w:val="22"/>
        </w:rPr>
        <w:t>underst</w:t>
      </w:r>
      <w:r w:rsidR="00562E3F">
        <w:rPr>
          <w:sz w:val="22"/>
          <w:szCs w:val="22"/>
        </w:rPr>
        <w:t xml:space="preserve">and via RRC configuration </w:t>
      </w:r>
      <w:r w:rsidR="00306208">
        <w:rPr>
          <w:sz w:val="22"/>
          <w:szCs w:val="22"/>
        </w:rPr>
        <w:t xml:space="preserve">that they reside on </w:t>
      </w:r>
      <w:r w:rsidR="002B6213">
        <w:rPr>
          <w:sz w:val="22"/>
          <w:szCs w:val="22"/>
        </w:rPr>
        <w:t xml:space="preserve">the </w:t>
      </w:r>
      <w:r w:rsidR="00306208">
        <w:rPr>
          <w:sz w:val="22"/>
          <w:szCs w:val="22"/>
        </w:rPr>
        <w:t>same frequency</w:t>
      </w:r>
      <w:r w:rsidR="00401CE6" w:rsidRPr="00A24C13">
        <w:rPr>
          <w:sz w:val="22"/>
          <w:szCs w:val="22"/>
        </w:rPr>
        <w:t>.</w:t>
      </w:r>
      <w:r w:rsidR="00401CE6">
        <w:rPr>
          <w:sz w:val="22"/>
          <w:szCs w:val="22"/>
        </w:rPr>
        <w:t xml:space="preserve"> </w:t>
      </w:r>
      <w:r w:rsidR="00614C02">
        <w:rPr>
          <w:sz w:val="22"/>
          <w:szCs w:val="22"/>
          <w:lang w:val="en-GB"/>
        </w:rPr>
        <w:t>Thus, w</w:t>
      </w:r>
      <w:r w:rsidR="00614C02" w:rsidRPr="00614C02">
        <w:rPr>
          <w:sz w:val="22"/>
          <w:szCs w:val="22"/>
          <w:lang w:val="en-GB"/>
        </w:rPr>
        <w:t>hen always-ON SSB and OD-SSB are in the same frequency, we can consider it as adaptation of always-ON SSBs in time domain</w:t>
      </w:r>
      <w:r w:rsidR="00ED1093">
        <w:rPr>
          <w:sz w:val="22"/>
          <w:szCs w:val="22"/>
          <w:lang w:val="en-GB"/>
        </w:rPr>
        <w:t>.</w:t>
      </w:r>
    </w:p>
    <w:p w14:paraId="19BE8796" w14:textId="467E98BA" w:rsidR="00401CE6" w:rsidRDefault="00401CE6" w:rsidP="00401CE6">
      <w:pPr>
        <w:tabs>
          <w:tab w:val="left" w:pos="284"/>
        </w:tabs>
        <w:jc w:val="both"/>
        <w:rPr>
          <w:b/>
          <w:bCs/>
          <w:sz w:val="22"/>
          <w:szCs w:val="22"/>
        </w:rPr>
      </w:pPr>
      <w:r w:rsidRPr="008649BA">
        <w:rPr>
          <w:rFonts w:cs="Arial"/>
          <w:b/>
          <w:bCs/>
          <w:sz w:val="22"/>
          <w:szCs w:val="28"/>
          <w:lang w:eastAsia="ko-KR"/>
        </w:rPr>
        <w:t>Observation</w:t>
      </w:r>
      <w:r>
        <w:rPr>
          <w:rFonts w:cs="Arial"/>
          <w:b/>
          <w:bCs/>
          <w:sz w:val="22"/>
          <w:szCs w:val="28"/>
          <w:lang w:eastAsia="ko-KR"/>
        </w:rPr>
        <w:t xml:space="preserve"> </w:t>
      </w:r>
      <w:r w:rsidR="005D2378">
        <w:rPr>
          <w:rFonts w:cs="Arial"/>
          <w:b/>
          <w:bCs/>
          <w:sz w:val="22"/>
          <w:szCs w:val="28"/>
          <w:lang w:eastAsia="ko-KR"/>
        </w:rPr>
        <w:t>1</w:t>
      </w:r>
      <w:r w:rsidRPr="000014CD">
        <w:rPr>
          <w:b/>
          <w:bCs/>
          <w:sz w:val="22"/>
          <w:szCs w:val="22"/>
        </w:rPr>
        <w:t xml:space="preserve">: </w:t>
      </w:r>
      <w:r w:rsidRPr="002801B7">
        <w:rPr>
          <w:sz w:val="22"/>
          <w:szCs w:val="22"/>
        </w:rPr>
        <w:t>When always-ON SSB and OD-SSB are in the same frequency, we can consider it as adaptation of always-ON SSBs in time domain</w:t>
      </w:r>
      <w:r>
        <w:rPr>
          <w:b/>
          <w:bCs/>
          <w:sz w:val="22"/>
          <w:szCs w:val="22"/>
        </w:rPr>
        <w:t>.</w:t>
      </w:r>
    </w:p>
    <w:p w14:paraId="6231ECE0" w14:textId="2431632A" w:rsidR="00D11BD5" w:rsidRPr="00A101FD" w:rsidRDefault="00385887" w:rsidP="004804A4">
      <w:pPr>
        <w:tabs>
          <w:tab w:val="left" w:pos="284"/>
        </w:tabs>
        <w:jc w:val="both"/>
        <w:rPr>
          <w:sz w:val="22"/>
          <w:szCs w:val="22"/>
        </w:rPr>
      </w:pPr>
      <w:r w:rsidRPr="00385887">
        <w:rPr>
          <w:sz w:val="22"/>
          <w:szCs w:val="22"/>
        </w:rPr>
        <w:t xml:space="preserve">The configuration for performing such adaptation of always-ON SSBs can be provided </w:t>
      </w:r>
      <w:r w:rsidR="00A101FD" w:rsidRPr="00A101FD">
        <w:rPr>
          <w:sz w:val="22"/>
          <w:szCs w:val="22"/>
        </w:rPr>
        <w:t xml:space="preserve">based on parameters dedicated </w:t>
      </w:r>
      <w:r w:rsidR="003A317A">
        <w:rPr>
          <w:sz w:val="22"/>
          <w:szCs w:val="22"/>
        </w:rPr>
        <w:t>to</w:t>
      </w:r>
      <w:r w:rsidR="003A317A" w:rsidRPr="00A101FD">
        <w:rPr>
          <w:sz w:val="22"/>
          <w:szCs w:val="22"/>
        </w:rPr>
        <w:t xml:space="preserve"> </w:t>
      </w:r>
      <w:r w:rsidR="00A101FD" w:rsidRPr="00A101FD">
        <w:rPr>
          <w:sz w:val="22"/>
          <w:szCs w:val="22"/>
        </w:rPr>
        <w:t>SSB adaptation configured via Serving Cell Configuration, e.g., new periodicity value</w:t>
      </w:r>
      <w:r w:rsidR="004804A4">
        <w:rPr>
          <w:sz w:val="22"/>
          <w:szCs w:val="22"/>
        </w:rPr>
        <w:t>.</w:t>
      </w:r>
    </w:p>
    <w:p w14:paraId="45BC0553" w14:textId="740DA179" w:rsidR="00C42D10" w:rsidRDefault="00F6397D" w:rsidP="00A101FD">
      <w:pPr>
        <w:tabs>
          <w:tab w:val="left" w:pos="284"/>
        </w:tabs>
        <w:jc w:val="both"/>
        <w:rPr>
          <w:sz w:val="22"/>
          <w:szCs w:val="22"/>
        </w:rPr>
      </w:pPr>
      <w:r w:rsidRPr="00F6397D">
        <w:rPr>
          <w:sz w:val="22"/>
          <w:szCs w:val="22"/>
        </w:rPr>
        <w:t xml:space="preserve">The overall configuration of SSB adaptation, at least for adapting always-ON SSB during SCell activation, can be of similar structure as in our accompanying paper on </w:t>
      </w:r>
      <w:r w:rsidR="003129B0">
        <w:rPr>
          <w:sz w:val="22"/>
          <w:szCs w:val="22"/>
        </w:rPr>
        <w:t>Objective 1</w:t>
      </w:r>
      <w:r w:rsidRPr="00F6397D">
        <w:rPr>
          <w:sz w:val="22"/>
          <w:szCs w:val="22"/>
        </w:rPr>
        <w:t>. Thus, from RAN2 perspective</w:t>
      </w:r>
      <w:r w:rsidR="00986720" w:rsidRPr="001B70F1">
        <w:rPr>
          <w:sz w:val="22"/>
          <w:szCs w:val="22"/>
        </w:rPr>
        <w:t>,</w:t>
      </w:r>
      <w:r w:rsidRPr="001B70F1">
        <w:rPr>
          <w:sz w:val="22"/>
          <w:szCs w:val="22"/>
        </w:rPr>
        <w:t xml:space="preserve"> the two features could be rather same in the end. </w:t>
      </w:r>
    </w:p>
    <w:p w14:paraId="0FFE382A" w14:textId="67F28BE3" w:rsidR="00A101FD" w:rsidRDefault="00006CC9" w:rsidP="00A101FD">
      <w:pPr>
        <w:tabs>
          <w:tab w:val="left" w:pos="284"/>
        </w:tabs>
        <w:jc w:val="both"/>
        <w:rPr>
          <w:sz w:val="22"/>
          <w:szCs w:val="22"/>
        </w:rPr>
      </w:pPr>
      <w:r w:rsidRPr="00006CC9">
        <w:rPr>
          <w:sz w:val="22"/>
          <w:szCs w:val="22"/>
        </w:rPr>
        <w:t xml:space="preserve">In terms of signaling, the MAC-CE implementing OD-SSB could be re-used to enable the SSB adaptation in time domain, at least for the cases of B2 and B3 of the RAN1#118 agreement. For example, in </w:t>
      </w:r>
      <w:r w:rsidR="007F5339">
        <w:rPr>
          <w:sz w:val="22"/>
          <w:szCs w:val="22"/>
        </w:rPr>
        <w:t>Objective 1</w:t>
      </w:r>
      <w:r w:rsidRPr="00006CC9">
        <w:rPr>
          <w:sz w:val="22"/>
          <w:szCs w:val="22"/>
        </w:rPr>
        <w:t>, periodic CSI reporting based on OD-SSB has been agreed. This reporting takes place after SCell activation and may continue as long as OD-SSB is transmitted. Extending this agreement to always-ON SSBs, different SSB burst periodicity</w:t>
      </w:r>
      <w:r w:rsidR="009D01BD">
        <w:rPr>
          <w:sz w:val="22"/>
          <w:szCs w:val="22"/>
        </w:rPr>
        <w:t xml:space="preserve"> can be indicated dynamically based on RRC signaling or MAC-CE or dynamic control information. </w:t>
      </w:r>
      <w:r w:rsidR="00767F5F" w:rsidRPr="00767F5F">
        <w:rPr>
          <w:sz w:val="22"/>
          <w:szCs w:val="22"/>
        </w:rPr>
        <w:t>Thus, it seems reasonable to consider simultaneously at least RRC signaling and MAC-CE aspects to for these two features, i.e., OD-SSB and SSB adaptation in time domain (always-ON), simultaneously</w:t>
      </w:r>
      <w:r w:rsidR="005D360D">
        <w:rPr>
          <w:sz w:val="22"/>
          <w:szCs w:val="22"/>
        </w:rPr>
        <w:t>.</w:t>
      </w:r>
    </w:p>
    <w:p w14:paraId="7002F87C" w14:textId="5EED7102" w:rsidR="009D01BD" w:rsidRDefault="009D01BD" w:rsidP="00A101FD">
      <w:pPr>
        <w:tabs>
          <w:tab w:val="left" w:pos="284"/>
        </w:tabs>
        <w:jc w:val="both"/>
        <w:rPr>
          <w:sz w:val="22"/>
          <w:szCs w:val="22"/>
        </w:rPr>
      </w:pPr>
      <w:r>
        <w:rPr>
          <w:sz w:val="22"/>
          <w:szCs w:val="22"/>
        </w:rPr>
        <w:t xml:space="preserve">In our view, the described formulation for enabling </w:t>
      </w:r>
      <w:r w:rsidR="00BB7E40">
        <w:rPr>
          <w:sz w:val="22"/>
          <w:szCs w:val="22"/>
        </w:rPr>
        <w:t>SSB</w:t>
      </w:r>
      <w:r>
        <w:rPr>
          <w:sz w:val="22"/>
          <w:szCs w:val="22"/>
        </w:rPr>
        <w:t xml:space="preserve"> adaptation in the time domain is quite similar to the </w:t>
      </w:r>
      <w:r w:rsidR="00E91B78">
        <w:rPr>
          <w:sz w:val="22"/>
          <w:szCs w:val="22"/>
        </w:rPr>
        <w:t>Objective 1</w:t>
      </w:r>
      <w:r>
        <w:rPr>
          <w:sz w:val="22"/>
          <w:szCs w:val="22"/>
        </w:rPr>
        <w:t xml:space="preserve"> that focuses on “On-demand SSB SCell operation”. For this reason, we believe that at least RRC </w:t>
      </w:r>
      <w:r w:rsidR="00781CCC">
        <w:rPr>
          <w:sz w:val="22"/>
          <w:szCs w:val="22"/>
        </w:rPr>
        <w:t>signaling</w:t>
      </w:r>
      <w:r>
        <w:rPr>
          <w:sz w:val="22"/>
          <w:szCs w:val="22"/>
        </w:rPr>
        <w:t xml:space="preserve"> and MAC-CE aspects to indicate SSB adaptation in time domain can be treated in </w:t>
      </w:r>
      <w:r w:rsidR="00781CCC">
        <w:rPr>
          <w:sz w:val="22"/>
          <w:szCs w:val="22"/>
        </w:rPr>
        <w:t>conjunction</w:t>
      </w:r>
      <w:r>
        <w:rPr>
          <w:sz w:val="22"/>
          <w:szCs w:val="22"/>
        </w:rPr>
        <w:t xml:space="preserve"> with the respective designs discussed/agreed in </w:t>
      </w:r>
      <w:r w:rsidR="00E91B78">
        <w:rPr>
          <w:sz w:val="22"/>
          <w:szCs w:val="22"/>
        </w:rPr>
        <w:t>Objective 1</w:t>
      </w:r>
      <w:r w:rsidR="005D360D">
        <w:rPr>
          <w:sz w:val="22"/>
          <w:szCs w:val="22"/>
        </w:rPr>
        <w:t>.</w:t>
      </w:r>
    </w:p>
    <w:p w14:paraId="4616A0A2" w14:textId="2354FC61" w:rsidR="00E2797E" w:rsidRPr="003F74A3" w:rsidRDefault="00E2797E" w:rsidP="00E2797E">
      <w:pPr>
        <w:tabs>
          <w:tab w:val="left" w:pos="284"/>
        </w:tabs>
        <w:jc w:val="both"/>
        <w:rPr>
          <w:sz w:val="22"/>
          <w:szCs w:val="22"/>
        </w:rPr>
      </w:pPr>
      <w:r>
        <w:rPr>
          <w:b/>
          <w:bCs/>
          <w:sz w:val="22"/>
          <w:szCs w:val="22"/>
        </w:rPr>
        <w:t xml:space="preserve">Proposal 1: </w:t>
      </w:r>
      <w:r>
        <w:rPr>
          <w:sz w:val="22"/>
          <w:szCs w:val="22"/>
        </w:rPr>
        <w:t>When designing on-demand SSB and SSB adaptation activation, MAC CE/RRC signaling should be done jointly in RAN2.</w:t>
      </w:r>
    </w:p>
    <w:p w14:paraId="4477934E" w14:textId="561548FE" w:rsidR="001A5B3F" w:rsidRDefault="001A5B3F" w:rsidP="001A5B3F">
      <w:pPr>
        <w:tabs>
          <w:tab w:val="left" w:pos="284"/>
        </w:tabs>
        <w:jc w:val="both"/>
        <w:rPr>
          <w:sz w:val="22"/>
          <w:szCs w:val="22"/>
        </w:rPr>
      </w:pPr>
      <w:r>
        <w:rPr>
          <w:sz w:val="22"/>
          <w:szCs w:val="22"/>
        </w:rPr>
        <w:t>During the RAN4 #112bis meeting, an LS was sent from RAN4 to RAN2 asking about the SMTC impact due to SSB adaptation, as observed below</w:t>
      </w:r>
      <w:r w:rsidR="005D360D">
        <w:rPr>
          <w:sz w:val="22"/>
          <w:szCs w:val="22"/>
        </w:rPr>
        <w:t>.</w:t>
      </w:r>
    </w:p>
    <w:tbl>
      <w:tblPr>
        <w:tblStyle w:val="TableGrid"/>
        <w:tblW w:w="0" w:type="auto"/>
        <w:tblLook w:val="04A0" w:firstRow="1" w:lastRow="0" w:firstColumn="1" w:lastColumn="0" w:noHBand="0" w:noVBand="1"/>
      </w:tblPr>
      <w:tblGrid>
        <w:gridCol w:w="9631"/>
      </w:tblGrid>
      <w:tr w:rsidR="001A5B3F" w14:paraId="597506D8" w14:textId="77777777" w:rsidTr="00795AE9">
        <w:tc>
          <w:tcPr>
            <w:tcW w:w="9631" w:type="dxa"/>
          </w:tcPr>
          <w:p w14:paraId="3A5AF931" w14:textId="77777777" w:rsidR="001A5B3F" w:rsidRDefault="001A5B3F" w:rsidP="00795AE9">
            <w:pPr>
              <w:spacing w:after="120"/>
              <w:rPr>
                <w:lang w:eastAsia="zh-CN"/>
              </w:rPr>
            </w:pPr>
            <w:r>
              <w:rPr>
                <w:lang w:eastAsia="zh-CN"/>
              </w:rPr>
              <w:t>RAN4#112bis extensively discussed impact on RRM requirements from SSB adaptation. The following agreements were reached after discussion:</w:t>
            </w:r>
          </w:p>
          <w:p w14:paraId="4F16AF2E" w14:textId="77777777" w:rsidR="001A5B3F" w:rsidRPr="00CF001F" w:rsidRDefault="001A5B3F" w:rsidP="00795AE9">
            <w:pPr>
              <w:spacing w:after="120"/>
              <w:ind w:left="360"/>
              <w:rPr>
                <w:i/>
                <w:iCs/>
                <w:lang w:eastAsia="zh-CN"/>
              </w:rPr>
            </w:pPr>
            <w:r w:rsidRPr="00CF001F">
              <w:rPr>
                <w:i/>
                <w:iCs/>
                <w:lang w:eastAsia="zh-CN"/>
              </w:rPr>
              <w:t>Agreements:</w:t>
            </w:r>
          </w:p>
          <w:p w14:paraId="344B6482" w14:textId="77777777" w:rsidR="001A5B3F" w:rsidRPr="00B662D7" w:rsidRDefault="001A5B3F" w:rsidP="001A5B3F">
            <w:pPr>
              <w:numPr>
                <w:ilvl w:val="0"/>
                <w:numId w:val="43"/>
              </w:numPr>
              <w:spacing w:after="120"/>
              <w:ind w:left="720"/>
              <w:rPr>
                <w:bCs/>
                <w:i/>
                <w:iCs/>
                <w:lang w:eastAsia="zh-CN"/>
              </w:rPr>
            </w:pPr>
            <w:r w:rsidRPr="00B662D7">
              <w:rPr>
                <w:bCs/>
                <w:i/>
                <w:iCs/>
                <w:lang w:eastAsia="zh-CN"/>
              </w:rPr>
              <w:t>RAN4 to discuss whether there are any impacts on at least the following RRM requirements due to SSB adaption:</w:t>
            </w:r>
          </w:p>
          <w:p w14:paraId="4B5B9F2D" w14:textId="77777777" w:rsidR="001A5B3F" w:rsidRPr="00B662D7" w:rsidRDefault="001A5B3F" w:rsidP="001A5B3F">
            <w:pPr>
              <w:numPr>
                <w:ilvl w:val="1"/>
                <w:numId w:val="43"/>
              </w:numPr>
              <w:spacing w:after="120"/>
              <w:ind w:left="1440"/>
              <w:rPr>
                <w:bCs/>
                <w:i/>
                <w:iCs/>
                <w:lang w:eastAsia="zh-CN"/>
              </w:rPr>
            </w:pPr>
            <w:r w:rsidRPr="00B662D7">
              <w:rPr>
                <w:bCs/>
                <w:i/>
                <w:iCs/>
                <w:lang w:eastAsia="zh-CN"/>
              </w:rPr>
              <w:t>L1-RSRP for serving cell</w:t>
            </w:r>
          </w:p>
          <w:p w14:paraId="14F653EC" w14:textId="77777777" w:rsidR="001A5B3F" w:rsidRPr="00B662D7" w:rsidRDefault="001A5B3F" w:rsidP="001A5B3F">
            <w:pPr>
              <w:numPr>
                <w:ilvl w:val="1"/>
                <w:numId w:val="43"/>
              </w:numPr>
              <w:spacing w:after="120"/>
              <w:ind w:left="1440"/>
              <w:rPr>
                <w:bCs/>
                <w:i/>
                <w:iCs/>
                <w:lang w:eastAsia="zh-CN"/>
              </w:rPr>
            </w:pPr>
            <w:r w:rsidRPr="00B662D7">
              <w:rPr>
                <w:bCs/>
                <w:i/>
                <w:iCs/>
                <w:lang w:eastAsia="zh-CN"/>
              </w:rPr>
              <w:t>L1-SINR</w:t>
            </w:r>
          </w:p>
          <w:p w14:paraId="48FE3EA7" w14:textId="77777777" w:rsidR="001A5B3F" w:rsidRPr="00B662D7" w:rsidRDefault="001A5B3F" w:rsidP="001A5B3F">
            <w:pPr>
              <w:numPr>
                <w:ilvl w:val="1"/>
                <w:numId w:val="43"/>
              </w:numPr>
              <w:spacing w:after="120"/>
              <w:ind w:left="1440"/>
              <w:rPr>
                <w:bCs/>
                <w:i/>
                <w:iCs/>
                <w:lang w:eastAsia="zh-CN"/>
              </w:rPr>
            </w:pPr>
            <w:r w:rsidRPr="00B662D7">
              <w:rPr>
                <w:bCs/>
                <w:i/>
                <w:iCs/>
                <w:lang w:eastAsia="zh-CN"/>
              </w:rPr>
              <w:t>BFD</w:t>
            </w:r>
          </w:p>
          <w:p w14:paraId="5CB6762A" w14:textId="77777777" w:rsidR="001A5B3F" w:rsidRPr="00B662D7" w:rsidRDefault="001A5B3F" w:rsidP="001A5B3F">
            <w:pPr>
              <w:numPr>
                <w:ilvl w:val="1"/>
                <w:numId w:val="43"/>
              </w:numPr>
              <w:spacing w:after="120"/>
              <w:ind w:left="1440"/>
              <w:rPr>
                <w:bCs/>
                <w:i/>
                <w:iCs/>
                <w:lang w:eastAsia="zh-CN"/>
              </w:rPr>
            </w:pPr>
            <w:r w:rsidRPr="00B662D7">
              <w:rPr>
                <w:bCs/>
                <w:i/>
                <w:iCs/>
                <w:lang w:eastAsia="zh-CN"/>
              </w:rPr>
              <w:t>CBD</w:t>
            </w:r>
          </w:p>
          <w:p w14:paraId="5EE01FDE" w14:textId="77777777" w:rsidR="001A5B3F" w:rsidRPr="00B662D7" w:rsidRDefault="001A5B3F" w:rsidP="001A5B3F">
            <w:pPr>
              <w:numPr>
                <w:ilvl w:val="1"/>
                <w:numId w:val="43"/>
              </w:numPr>
              <w:spacing w:after="120"/>
              <w:ind w:left="1440"/>
              <w:rPr>
                <w:bCs/>
                <w:i/>
                <w:iCs/>
                <w:lang w:eastAsia="zh-CN"/>
              </w:rPr>
            </w:pPr>
            <w:r w:rsidRPr="00B662D7">
              <w:rPr>
                <w:bCs/>
                <w:i/>
                <w:iCs/>
                <w:lang w:eastAsia="zh-CN"/>
              </w:rPr>
              <w:t>SCell activation</w:t>
            </w:r>
          </w:p>
          <w:p w14:paraId="57337617" w14:textId="77777777" w:rsidR="001A5B3F" w:rsidRPr="00B662D7" w:rsidRDefault="001A5B3F" w:rsidP="001A5B3F">
            <w:pPr>
              <w:numPr>
                <w:ilvl w:val="1"/>
                <w:numId w:val="43"/>
              </w:numPr>
              <w:spacing w:after="120"/>
              <w:ind w:left="1440"/>
              <w:rPr>
                <w:bCs/>
                <w:i/>
                <w:iCs/>
                <w:lang w:eastAsia="zh-CN"/>
              </w:rPr>
            </w:pPr>
            <w:r w:rsidRPr="00B662D7">
              <w:rPr>
                <w:bCs/>
                <w:i/>
                <w:iCs/>
                <w:lang w:eastAsia="zh-CN"/>
              </w:rPr>
              <w:t>TCI state switching</w:t>
            </w:r>
          </w:p>
          <w:p w14:paraId="6C464684" w14:textId="77777777" w:rsidR="001A5B3F" w:rsidRPr="00B662D7" w:rsidRDefault="001A5B3F" w:rsidP="001A5B3F">
            <w:pPr>
              <w:numPr>
                <w:ilvl w:val="1"/>
                <w:numId w:val="43"/>
              </w:numPr>
              <w:spacing w:after="120"/>
              <w:ind w:left="1440"/>
              <w:rPr>
                <w:bCs/>
                <w:i/>
                <w:iCs/>
                <w:lang w:eastAsia="zh-CN"/>
              </w:rPr>
            </w:pPr>
            <w:r w:rsidRPr="00B662D7">
              <w:rPr>
                <w:bCs/>
                <w:i/>
                <w:iCs/>
                <w:lang w:eastAsia="zh-CN"/>
              </w:rPr>
              <w:t xml:space="preserve">NR intra-frequency L3 measurement </w:t>
            </w:r>
          </w:p>
          <w:p w14:paraId="5F0C20F3" w14:textId="77777777" w:rsidR="001A5B3F" w:rsidRPr="00357CF7" w:rsidRDefault="001A5B3F" w:rsidP="001A5B3F">
            <w:pPr>
              <w:numPr>
                <w:ilvl w:val="1"/>
                <w:numId w:val="43"/>
              </w:numPr>
              <w:spacing w:after="120"/>
              <w:ind w:left="1440"/>
              <w:rPr>
                <w:bCs/>
                <w:lang w:eastAsia="zh-CN"/>
              </w:rPr>
            </w:pPr>
            <w:r w:rsidRPr="00B662D7">
              <w:rPr>
                <w:bCs/>
                <w:i/>
                <w:iCs/>
                <w:lang w:eastAsia="zh-CN"/>
              </w:rPr>
              <w:t xml:space="preserve">NR inter-frequency L3 measurement </w:t>
            </w:r>
          </w:p>
          <w:p w14:paraId="6F58F2CD" w14:textId="77777777" w:rsidR="001A5B3F" w:rsidRPr="00357CF7" w:rsidRDefault="001A5B3F" w:rsidP="00795AE9">
            <w:pPr>
              <w:spacing w:after="120"/>
              <w:rPr>
                <w:rFonts w:eastAsiaTheme="minorEastAsia"/>
                <w:bCs/>
                <w:lang w:eastAsia="zh-CN"/>
              </w:rPr>
            </w:pPr>
            <w:r>
              <w:rPr>
                <w:bCs/>
                <w:lang w:eastAsia="zh-CN"/>
              </w:rPr>
              <w:t>However, L3 measurement requirement in RAN4 is defined based on SMTC configuration rather than SSB configuration in legacy. RAN4 would like to ask RAN2 that whether there is any SMTC impact due to SSB adaptation</w:t>
            </w:r>
            <w:r>
              <w:rPr>
                <w:rFonts w:eastAsiaTheme="minorEastAsia" w:hint="eastAsia"/>
                <w:bCs/>
                <w:lang w:eastAsia="zh-CN"/>
              </w:rPr>
              <w:t>.</w:t>
            </w:r>
          </w:p>
          <w:p w14:paraId="42678B39" w14:textId="77777777" w:rsidR="001A5B3F" w:rsidRPr="00F32DF8" w:rsidRDefault="001A5B3F" w:rsidP="00795AE9">
            <w:pPr>
              <w:pStyle w:val="Header"/>
              <w:rPr>
                <w:rFonts w:ascii="Times New Roman" w:hAnsi="Times New Roman"/>
              </w:rPr>
            </w:pPr>
          </w:p>
          <w:p w14:paraId="1954E127" w14:textId="77777777" w:rsidR="001A5B3F" w:rsidRPr="00F32DF8" w:rsidRDefault="001A5B3F" w:rsidP="00795AE9">
            <w:pPr>
              <w:spacing w:after="120"/>
              <w:rPr>
                <w:b/>
              </w:rPr>
            </w:pPr>
            <w:r w:rsidRPr="00F32DF8">
              <w:rPr>
                <w:b/>
              </w:rPr>
              <w:t>2. Actions:</w:t>
            </w:r>
          </w:p>
          <w:p w14:paraId="684E47AB" w14:textId="77777777" w:rsidR="001A5B3F" w:rsidRPr="00F32DF8" w:rsidRDefault="001A5B3F" w:rsidP="00795AE9">
            <w:pPr>
              <w:spacing w:after="120"/>
              <w:rPr>
                <w:b/>
              </w:rPr>
            </w:pPr>
            <w:bookmarkStart w:id="0" w:name="OLE_LINK17"/>
            <w:r w:rsidRPr="00F32DF8">
              <w:rPr>
                <w:b/>
              </w:rPr>
              <w:t>To RAN</w:t>
            </w:r>
            <w:r>
              <w:rPr>
                <w:rFonts w:eastAsiaTheme="minorEastAsia" w:hint="eastAsia"/>
                <w:b/>
                <w:lang w:eastAsia="zh-CN"/>
              </w:rPr>
              <w:t>2</w:t>
            </w:r>
            <w:r w:rsidRPr="00F32DF8">
              <w:rPr>
                <w:b/>
              </w:rPr>
              <w:t>.</w:t>
            </w:r>
          </w:p>
          <w:p w14:paraId="1E20554C" w14:textId="77777777" w:rsidR="001A5B3F" w:rsidRPr="001A5B3F" w:rsidRDefault="001A5B3F" w:rsidP="00795AE9">
            <w:pPr>
              <w:spacing w:after="120"/>
              <w:ind w:left="993" w:hanging="993"/>
              <w:rPr>
                <w:lang w:eastAsia="zh-CN"/>
              </w:rPr>
            </w:pPr>
            <w:r w:rsidRPr="00F32DF8">
              <w:rPr>
                <w:b/>
              </w:rPr>
              <w:t xml:space="preserve">ACTION: </w:t>
            </w:r>
            <w:r w:rsidRPr="00F32DF8">
              <w:tab/>
            </w:r>
            <w:bookmarkEnd w:id="0"/>
            <w:r w:rsidRPr="00F32DF8">
              <w:rPr>
                <w:lang w:eastAsia="zh-CN"/>
              </w:rPr>
              <w:t>RAN4 kindly asks RAN</w:t>
            </w:r>
            <w:r>
              <w:rPr>
                <w:lang w:eastAsia="zh-CN"/>
              </w:rPr>
              <w:t xml:space="preserve">2 </w:t>
            </w:r>
            <w:r w:rsidRPr="00F32DF8">
              <w:rPr>
                <w:lang w:eastAsia="zh-CN"/>
              </w:rPr>
              <w:t xml:space="preserve">to </w:t>
            </w:r>
            <w:r w:rsidRPr="0044408A">
              <w:rPr>
                <w:rFonts w:eastAsia="Webdings" w:hint="eastAsia"/>
              </w:rPr>
              <w:t>answer the SMTC impact question due to SSB adaptation above</w:t>
            </w:r>
            <w:r>
              <w:rPr>
                <w:lang w:eastAsia="zh-CN"/>
              </w:rPr>
              <w:t>.</w:t>
            </w:r>
          </w:p>
        </w:tc>
      </w:tr>
    </w:tbl>
    <w:p w14:paraId="2CA1E1BF" w14:textId="77777777" w:rsidR="00874C1B" w:rsidRDefault="00874C1B" w:rsidP="00135D38">
      <w:pPr>
        <w:tabs>
          <w:tab w:val="left" w:pos="284"/>
        </w:tabs>
        <w:jc w:val="both"/>
        <w:rPr>
          <w:sz w:val="22"/>
          <w:szCs w:val="22"/>
        </w:rPr>
      </w:pPr>
    </w:p>
    <w:p w14:paraId="62C96CEF" w14:textId="4B4DDAC1" w:rsidR="008E1697" w:rsidRDefault="008E1697" w:rsidP="00135D38">
      <w:pPr>
        <w:tabs>
          <w:tab w:val="left" w:pos="284"/>
        </w:tabs>
        <w:jc w:val="both"/>
        <w:rPr>
          <w:sz w:val="22"/>
          <w:szCs w:val="22"/>
        </w:rPr>
      </w:pPr>
      <w:r>
        <w:rPr>
          <w:sz w:val="22"/>
          <w:szCs w:val="22"/>
        </w:rPr>
        <w:t xml:space="preserve">Dynamic adaptation of this SSB transmission may have an impact on </w:t>
      </w:r>
      <w:r w:rsidR="00987CA8">
        <w:rPr>
          <w:sz w:val="22"/>
          <w:szCs w:val="22"/>
        </w:rPr>
        <w:t xml:space="preserve">L3 </w:t>
      </w:r>
      <w:r w:rsidR="00E76F8C">
        <w:rPr>
          <w:sz w:val="22"/>
          <w:szCs w:val="22"/>
        </w:rPr>
        <w:t>measurements</w:t>
      </w:r>
      <w:r w:rsidR="009018E9">
        <w:rPr>
          <w:sz w:val="22"/>
          <w:szCs w:val="22"/>
        </w:rPr>
        <w:t xml:space="preserve"> performed by the UE</w:t>
      </w:r>
      <w:r w:rsidR="00EB4235">
        <w:rPr>
          <w:sz w:val="22"/>
          <w:szCs w:val="22"/>
        </w:rPr>
        <w:t xml:space="preserve">, e.g., with the UE performing excess measurements when there is no SSB burst transmission, as in Figure </w:t>
      </w:r>
      <w:r w:rsidR="00436965">
        <w:rPr>
          <w:sz w:val="22"/>
          <w:szCs w:val="22"/>
        </w:rPr>
        <w:t>1</w:t>
      </w:r>
      <w:r w:rsidR="00EB4235">
        <w:rPr>
          <w:sz w:val="22"/>
          <w:szCs w:val="22"/>
        </w:rPr>
        <w:t xml:space="preserve"> or e.g., with the UE missing transmission occasions of SSB bursts, as in Figure </w:t>
      </w:r>
      <w:r w:rsidR="00436965">
        <w:rPr>
          <w:sz w:val="22"/>
          <w:szCs w:val="22"/>
        </w:rPr>
        <w:t>2</w:t>
      </w:r>
      <w:r w:rsidR="003F62B8">
        <w:rPr>
          <w:sz w:val="22"/>
          <w:szCs w:val="22"/>
        </w:rPr>
        <w:t xml:space="preserve">. </w:t>
      </w:r>
    </w:p>
    <w:p w14:paraId="013B3D7B" w14:textId="77777777" w:rsidR="00B85605" w:rsidRDefault="00B85605" w:rsidP="00135D38">
      <w:pPr>
        <w:tabs>
          <w:tab w:val="left" w:pos="284"/>
        </w:tabs>
        <w:jc w:val="both"/>
        <w:rPr>
          <w:sz w:val="22"/>
          <w:szCs w:val="22"/>
        </w:rPr>
      </w:pPr>
    </w:p>
    <w:p w14:paraId="00F87089" w14:textId="77777777" w:rsidR="00AC52CA" w:rsidRDefault="00AC52CA" w:rsidP="000B3710">
      <w:pPr>
        <w:tabs>
          <w:tab w:val="left" w:pos="284"/>
        </w:tabs>
        <w:jc w:val="both"/>
        <w:rPr>
          <w:sz w:val="22"/>
          <w:szCs w:val="22"/>
        </w:rPr>
      </w:pPr>
    </w:p>
    <w:p w14:paraId="4C541124" w14:textId="0D410886" w:rsidR="00B7157B" w:rsidRDefault="00E5244A" w:rsidP="00AC52CA">
      <w:pPr>
        <w:tabs>
          <w:tab w:val="left" w:pos="284"/>
        </w:tabs>
        <w:jc w:val="center"/>
        <w:rPr>
          <w:sz w:val="22"/>
          <w:szCs w:val="22"/>
        </w:rPr>
      </w:pPr>
      <w:r>
        <w:rPr>
          <w:noProof/>
          <w:sz w:val="22"/>
          <w:szCs w:val="22"/>
        </w:rPr>
        <w:drawing>
          <wp:inline distT="0" distB="0" distL="0" distR="0" wp14:anchorId="7C404150" wp14:editId="07B01873">
            <wp:extent cx="5040000" cy="1512328"/>
            <wp:effectExtent l="0" t="0" r="0" b="0"/>
            <wp:docPr id="1735893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0000" cy="1512328"/>
                    </a:xfrm>
                    <a:prstGeom prst="rect">
                      <a:avLst/>
                    </a:prstGeom>
                    <a:noFill/>
                  </pic:spPr>
                </pic:pic>
              </a:graphicData>
            </a:graphic>
          </wp:inline>
        </w:drawing>
      </w:r>
    </w:p>
    <w:p w14:paraId="2571A85E" w14:textId="04CE0AC3" w:rsidR="00EB4235" w:rsidRDefault="00EB4235" w:rsidP="00AC52CA">
      <w:pPr>
        <w:tabs>
          <w:tab w:val="left" w:pos="284"/>
        </w:tabs>
        <w:jc w:val="center"/>
        <w:rPr>
          <w:sz w:val="22"/>
          <w:szCs w:val="22"/>
        </w:rPr>
      </w:pPr>
      <w:r>
        <w:rPr>
          <w:sz w:val="22"/>
          <w:szCs w:val="22"/>
        </w:rPr>
        <w:t xml:space="preserve">Figure </w:t>
      </w:r>
      <w:r w:rsidR="00B46159">
        <w:rPr>
          <w:sz w:val="22"/>
          <w:szCs w:val="22"/>
        </w:rPr>
        <w:t>1: SSB burst periodicity is adapted to a longer value and UE attempts unnecessary measurements.</w:t>
      </w:r>
    </w:p>
    <w:p w14:paraId="57B1F43C" w14:textId="77777777" w:rsidR="00B85605" w:rsidRDefault="00B85605" w:rsidP="00B85605">
      <w:pPr>
        <w:tabs>
          <w:tab w:val="left" w:pos="284"/>
        </w:tabs>
        <w:jc w:val="both"/>
        <w:rPr>
          <w:sz w:val="22"/>
          <w:szCs w:val="22"/>
        </w:rPr>
      </w:pPr>
    </w:p>
    <w:p w14:paraId="08258017" w14:textId="77777777" w:rsidR="00987CA8" w:rsidRDefault="00987CA8" w:rsidP="00B85605">
      <w:pPr>
        <w:tabs>
          <w:tab w:val="left" w:pos="284"/>
        </w:tabs>
        <w:jc w:val="both"/>
        <w:rPr>
          <w:sz w:val="22"/>
          <w:szCs w:val="22"/>
        </w:rPr>
      </w:pPr>
    </w:p>
    <w:p w14:paraId="39F6890B" w14:textId="12F0C31E" w:rsidR="001A5B3F" w:rsidRDefault="00E5244A" w:rsidP="00B85605">
      <w:pPr>
        <w:tabs>
          <w:tab w:val="left" w:pos="284"/>
        </w:tabs>
        <w:jc w:val="center"/>
        <w:rPr>
          <w:sz w:val="22"/>
          <w:szCs w:val="22"/>
        </w:rPr>
      </w:pPr>
      <w:r>
        <w:rPr>
          <w:noProof/>
          <w:sz w:val="22"/>
          <w:szCs w:val="22"/>
        </w:rPr>
        <w:drawing>
          <wp:inline distT="0" distB="0" distL="0" distR="0" wp14:anchorId="094C8C20" wp14:editId="4FEB86B1">
            <wp:extent cx="5040000" cy="1492028"/>
            <wp:effectExtent l="0" t="0" r="0" b="0"/>
            <wp:docPr id="7072213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40000" cy="1492028"/>
                    </a:xfrm>
                    <a:prstGeom prst="rect">
                      <a:avLst/>
                    </a:prstGeom>
                    <a:noFill/>
                  </pic:spPr>
                </pic:pic>
              </a:graphicData>
            </a:graphic>
          </wp:inline>
        </w:drawing>
      </w:r>
    </w:p>
    <w:p w14:paraId="25162A44" w14:textId="6F7F9CD9" w:rsidR="00EB4235" w:rsidRDefault="00EB4235" w:rsidP="00B46159">
      <w:pPr>
        <w:tabs>
          <w:tab w:val="left" w:pos="284"/>
        </w:tabs>
        <w:jc w:val="center"/>
        <w:rPr>
          <w:sz w:val="22"/>
          <w:szCs w:val="22"/>
        </w:rPr>
      </w:pPr>
      <w:r>
        <w:rPr>
          <w:sz w:val="22"/>
          <w:szCs w:val="22"/>
        </w:rPr>
        <w:t xml:space="preserve">Figure </w:t>
      </w:r>
      <w:r w:rsidR="00B46159">
        <w:rPr>
          <w:sz w:val="22"/>
          <w:szCs w:val="22"/>
        </w:rPr>
        <w:t>2: SSB burst periodicity is adapted to a shorter value and UE misses useful measurement occasions.</w:t>
      </w:r>
    </w:p>
    <w:p w14:paraId="52C59907" w14:textId="3E033AFA" w:rsidR="00AC52CA" w:rsidRDefault="00AC52CA" w:rsidP="00B85605">
      <w:pPr>
        <w:tabs>
          <w:tab w:val="left" w:pos="284"/>
        </w:tabs>
        <w:jc w:val="both"/>
        <w:rPr>
          <w:sz w:val="22"/>
          <w:szCs w:val="22"/>
        </w:rPr>
      </w:pPr>
    </w:p>
    <w:p w14:paraId="2B07960B" w14:textId="77D91EC6" w:rsidR="00AC52CA" w:rsidRDefault="00987CA8" w:rsidP="00B85605">
      <w:pPr>
        <w:tabs>
          <w:tab w:val="left" w:pos="284"/>
        </w:tabs>
        <w:jc w:val="both"/>
        <w:rPr>
          <w:sz w:val="22"/>
          <w:szCs w:val="22"/>
        </w:rPr>
      </w:pPr>
      <w:r>
        <w:rPr>
          <w:sz w:val="22"/>
          <w:szCs w:val="22"/>
        </w:rPr>
        <w:t xml:space="preserve">A way to address these issues would be to </w:t>
      </w:r>
      <w:r w:rsidR="00F82DC4">
        <w:rPr>
          <w:sz w:val="22"/>
          <w:szCs w:val="22"/>
        </w:rPr>
        <w:t>align</w:t>
      </w:r>
      <w:r>
        <w:rPr>
          <w:sz w:val="22"/>
          <w:szCs w:val="22"/>
        </w:rPr>
        <w:t xml:space="preserve">, </w:t>
      </w:r>
      <w:r w:rsidR="00F82DC4">
        <w:rPr>
          <w:sz w:val="22"/>
          <w:szCs w:val="22"/>
        </w:rPr>
        <w:t xml:space="preserve">the </w:t>
      </w:r>
      <w:r>
        <w:rPr>
          <w:sz w:val="22"/>
          <w:szCs w:val="22"/>
        </w:rPr>
        <w:t>SSB adaptation</w:t>
      </w:r>
      <w:r w:rsidR="00F82DC4">
        <w:rPr>
          <w:sz w:val="22"/>
          <w:szCs w:val="22"/>
        </w:rPr>
        <w:t xml:space="preserve"> in time domain, e.g., burst periodicity</w:t>
      </w:r>
      <w:r>
        <w:rPr>
          <w:sz w:val="22"/>
          <w:szCs w:val="22"/>
        </w:rPr>
        <w:t xml:space="preserve">, </w:t>
      </w:r>
      <w:r w:rsidR="00F82DC4">
        <w:rPr>
          <w:sz w:val="22"/>
          <w:szCs w:val="22"/>
        </w:rPr>
        <w:t xml:space="preserve">with </w:t>
      </w:r>
      <w:r>
        <w:rPr>
          <w:sz w:val="22"/>
          <w:szCs w:val="22"/>
        </w:rPr>
        <w:t xml:space="preserve">a dedicated SMTC </w:t>
      </w:r>
      <w:r w:rsidR="00F82DC4">
        <w:rPr>
          <w:sz w:val="22"/>
          <w:szCs w:val="22"/>
        </w:rPr>
        <w:t>to be applied for</w:t>
      </w:r>
      <w:r>
        <w:rPr>
          <w:sz w:val="22"/>
          <w:szCs w:val="22"/>
        </w:rPr>
        <w:t xml:space="preserve"> measurements of adapted SSB</w:t>
      </w:r>
      <w:r w:rsidR="00F82DC4">
        <w:rPr>
          <w:sz w:val="22"/>
          <w:szCs w:val="22"/>
        </w:rPr>
        <w:t>s</w:t>
      </w:r>
      <w:r>
        <w:rPr>
          <w:sz w:val="22"/>
          <w:szCs w:val="22"/>
        </w:rPr>
        <w:t xml:space="preserve">. </w:t>
      </w:r>
    </w:p>
    <w:p w14:paraId="0E8C406C" w14:textId="43721285" w:rsidR="00786BEE" w:rsidRPr="00A101FD" w:rsidRDefault="00786BEE" w:rsidP="00786BEE">
      <w:pPr>
        <w:tabs>
          <w:tab w:val="left" w:pos="284"/>
        </w:tabs>
        <w:jc w:val="both"/>
        <w:rPr>
          <w:sz w:val="22"/>
          <w:szCs w:val="22"/>
        </w:rPr>
      </w:pPr>
      <w:r>
        <w:rPr>
          <w:sz w:val="22"/>
          <w:szCs w:val="22"/>
        </w:rPr>
        <w:t>S</w:t>
      </w:r>
      <w:r w:rsidRPr="00A101FD">
        <w:rPr>
          <w:sz w:val="22"/>
          <w:szCs w:val="22"/>
        </w:rPr>
        <w:t xml:space="preserve">uch adaptation can be performed based on parameters dedicated for SSB adaptation configured via Serving Cell Configuration, </w:t>
      </w:r>
      <w:r>
        <w:rPr>
          <w:sz w:val="22"/>
          <w:szCs w:val="22"/>
        </w:rPr>
        <w:t xml:space="preserve">in addition to, </w:t>
      </w:r>
      <w:r w:rsidRPr="00A101FD">
        <w:rPr>
          <w:sz w:val="22"/>
          <w:szCs w:val="22"/>
        </w:rPr>
        <w:t xml:space="preserve">e.g., </w:t>
      </w:r>
      <w:r>
        <w:rPr>
          <w:sz w:val="22"/>
          <w:szCs w:val="22"/>
        </w:rPr>
        <w:t xml:space="preserve">a </w:t>
      </w:r>
      <w:r w:rsidRPr="00A101FD">
        <w:rPr>
          <w:sz w:val="22"/>
          <w:szCs w:val="22"/>
        </w:rPr>
        <w:t>new periodicity value</w:t>
      </w:r>
      <w:r>
        <w:rPr>
          <w:sz w:val="22"/>
          <w:szCs w:val="22"/>
        </w:rPr>
        <w:t xml:space="preserve"> (potentially other parameters </w:t>
      </w:r>
      <w:r w:rsidR="006068C3">
        <w:rPr>
          <w:sz w:val="22"/>
          <w:szCs w:val="22"/>
        </w:rPr>
        <w:t>too</w:t>
      </w:r>
      <w:r>
        <w:rPr>
          <w:sz w:val="22"/>
          <w:szCs w:val="22"/>
        </w:rPr>
        <w:t xml:space="preserve">). </w:t>
      </w:r>
    </w:p>
    <w:p w14:paraId="5ABF5223" w14:textId="71E3AF61" w:rsidR="00786BEE" w:rsidRDefault="00786BEE" w:rsidP="00786BEE">
      <w:pPr>
        <w:tabs>
          <w:tab w:val="left" w:pos="284"/>
        </w:tabs>
        <w:jc w:val="both"/>
        <w:rPr>
          <w:sz w:val="22"/>
          <w:szCs w:val="22"/>
        </w:rPr>
      </w:pPr>
      <w:r>
        <w:rPr>
          <w:sz w:val="22"/>
          <w:szCs w:val="22"/>
        </w:rPr>
        <w:t xml:space="preserve">This adaptation can be indicated dynamically together with the SSB adaptation based on RRC signaling or MAC-CE or dynamic control information. </w:t>
      </w:r>
    </w:p>
    <w:p w14:paraId="086E981A" w14:textId="77777777" w:rsidR="00603A24" w:rsidRPr="00D8404B" w:rsidRDefault="00603A24" w:rsidP="00603A24">
      <w:pPr>
        <w:tabs>
          <w:tab w:val="left" w:pos="284"/>
        </w:tabs>
        <w:jc w:val="both"/>
        <w:rPr>
          <w:sz w:val="22"/>
          <w:szCs w:val="22"/>
        </w:rPr>
      </w:pPr>
      <w:r w:rsidRPr="00D8404B">
        <w:rPr>
          <w:sz w:val="22"/>
          <w:szCs w:val="22"/>
        </w:rPr>
        <w:t xml:space="preserve">For adaptation of non-cell defining SSBs in an SCell, we believe that the configuration of an SMTC can be aligned with </w:t>
      </w:r>
      <w:r>
        <w:rPr>
          <w:sz w:val="22"/>
          <w:szCs w:val="22"/>
        </w:rPr>
        <w:t>Objective 1</w:t>
      </w:r>
      <w:r w:rsidRPr="00D8404B">
        <w:rPr>
          <w:sz w:val="22"/>
          <w:szCs w:val="22"/>
        </w:rPr>
        <w:t xml:space="preserve"> that focuses on “On-demand SSB SCell operation.</w:t>
      </w:r>
    </w:p>
    <w:p w14:paraId="15CDC157" w14:textId="048896C3" w:rsidR="00603A24" w:rsidRDefault="00603A24" w:rsidP="00603A24">
      <w:pPr>
        <w:tabs>
          <w:tab w:val="left" w:pos="284"/>
        </w:tabs>
        <w:jc w:val="both"/>
        <w:rPr>
          <w:sz w:val="22"/>
          <w:szCs w:val="22"/>
        </w:rPr>
      </w:pPr>
      <w:r w:rsidRPr="00D8404B">
        <w:rPr>
          <w:b/>
          <w:bCs/>
          <w:sz w:val="22"/>
          <w:szCs w:val="22"/>
        </w:rPr>
        <w:t xml:space="preserve">Proposal </w:t>
      </w:r>
      <w:r>
        <w:rPr>
          <w:b/>
          <w:bCs/>
          <w:sz w:val="22"/>
          <w:szCs w:val="22"/>
        </w:rPr>
        <w:t>2</w:t>
      </w:r>
      <w:r w:rsidRPr="00D8404B">
        <w:rPr>
          <w:b/>
          <w:bCs/>
          <w:sz w:val="22"/>
          <w:szCs w:val="22"/>
        </w:rPr>
        <w:t xml:space="preserve">: </w:t>
      </w:r>
      <w:r w:rsidRPr="00D8404B">
        <w:rPr>
          <w:sz w:val="22"/>
          <w:szCs w:val="22"/>
        </w:rPr>
        <w:t>When designing on-demand SSB and SSB adaptation activation, SMTC configuration for the two features should be done jointly in RAN2</w:t>
      </w:r>
      <w:r w:rsidR="004349E8">
        <w:rPr>
          <w:sz w:val="22"/>
          <w:szCs w:val="22"/>
        </w:rPr>
        <w:t>.</w:t>
      </w:r>
    </w:p>
    <w:p w14:paraId="7189CD99" w14:textId="77777777" w:rsidR="00F51382" w:rsidRDefault="00F51382" w:rsidP="00830B00">
      <w:pPr>
        <w:tabs>
          <w:tab w:val="left" w:pos="284"/>
        </w:tabs>
        <w:jc w:val="both"/>
        <w:rPr>
          <w:sz w:val="22"/>
          <w:szCs w:val="22"/>
        </w:rPr>
      </w:pPr>
    </w:p>
    <w:p w14:paraId="5CA70C3A" w14:textId="77777777" w:rsidR="00F51382" w:rsidRPr="003F74A3" w:rsidDel="00E2797E" w:rsidRDefault="00F51382" w:rsidP="00830B00">
      <w:pPr>
        <w:tabs>
          <w:tab w:val="left" w:pos="284"/>
        </w:tabs>
        <w:jc w:val="both"/>
        <w:rPr>
          <w:sz w:val="22"/>
          <w:szCs w:val="22"/>
        </w:rPr>
      </w:pPr>
    </w:p>
    <w:p w14:paraId="3D9BA595" w14:textId="5A31E5D1" w:rsidR="00D60FFC" w:rsidRPr="00C461E2" w:rsidRDefault="00CE643D" w:rsidP="00D60FFC">
      <w:pPr>
        <w:pStyle w:val="Heading1"/>
        <w:rPr>
          <w:lang w:val="en-US"/>
        </w:rPr>
      </w:pPr>
      <w:r w:rsidRPr="00C461E2">
        <w:rPr>
          <w:lang w:val="en-US"/>
        </w:rPr>
        <w:t>3</w:t>
      </w:r>
      <w:r w:rsidRPr="00C461E2">
        <w:rPr>
          <w:lang w:val="en-US"/>
        </w:rPr>
        <w:tab/>
      </w:r>
      <w:r w:rsidRPr="00C461E2">
        <w:rPr>
          <w:lang w:val="en-US"/>
        </w:rPr>
        <w:tab/>
        <w:t>PRACH Adaptation in time domain</w:t>
      </w:r>
    </w:p>
    <w:p w14:paraId="223C98E8" w14:textId="77777777" w:rsidR="00C362BC" w:rsidRDefault="00C362BC" w:rsidP="00C362BC">
      <w:pPr>
        <w:spacing w:after="0"/>
        <w:jc w:val="both"/>
        <w:rPr>
          <w:sz w:val="22"/>
          <w:szCs w:val="22"/>
        </w:rPr>
      </w:pPr>
      <w:r>
        <w:rPr>
          <w:sz w:val="22"/>
          <w:szCs w:val="22"/>
        </w:rPr>
        <w:t>As per the latest RAN1#117 meeting outcome, it was agreed to</w:t>
      </w:r>
      <w:r w:rsidRPr="00C50D45">
        <w:rPr>
          <w:sz w:val="22"/>
          <w:szCs w:val="22"/>
        </w:rPr>
        <w:t xml:space="preserve"> support at least the </w:t>
      </w:r>
      <w:r>
        <w:rPr>
          <w:sz w:val="22"/>
          <w:szCs w:val="22"/>
        </w:rPr>
        <w:t xml:space="preserve">PRACH </w:t>
      </w:r>
      <w:r w:rsidRPr="00C50D45">
        <w:rPr>
          <w:sz w:val="22"/>
          <w:szCs w:val="22"/>
        </w:rPr>
        <w:t>adaptation based on additional PRACH resources for NES-capable UEs in addition to PRACH resources for legacy UEs (if any)</w:t>
      </w:r>
      <w:r>
        <w:rPr>
          <w:sz w:val="22"/>
          <w:szCs w:val="22"/>
        </w:rPr>
        <w:t xml:space="preserve">. It was also noted that </w:t>
      </w:r>
      <w:r w:rsidRPr="00C50D45">
        <w:rPr>
          <w:sz w:val="22"/>
          <w:szCs w:val="22"/>
        </w:rPr>
        <w:t xml:space="preserve">NES-capable UEs can use both additional PRACH resources and PRACH resources </w:t>
      </w:r>
      <w:r>
        <w:rPr>
          <w:sz w:val="22"/>
          <w:szCs w:val="22"/>
        </w:rPr>
        <w:t xml:space="preserve">configured </w:t>
      </w:r>
      <w:r w:rsidRPr="00C50D45">
        <w:rPr>
          <w:sz w:val="22"/>
          <w:szCs w:val="22"/>
        </w:rPr>
        <w:t>for legacy UEs</w:t>
      </w:r>
      <w:r>
        <w:rPr>
          <w:sz w:val="22"/>
          <w:szCs w:val="22"/>
        </w:rPr>
        <w:t xml:space="preserve">. </w:t>
      </w:r>
    </w:p>
    <w:p w14:paraId="09C2BF92" w14:textId="77777777" w:rsidR="00C362BC" w:rsidRDefault="00C362BC" w:rsidP="00C362BC">
      <w:pPr>
        <w:spacing w:after="0"/>
        <w:jc w:val="both"/>
        <w:rPr>
          <w:sz w:val="22"/>
          <w:szCs w:val="22"/>
          <w:lang w:eastAsia="x-none"/>
        </w:rPr>
      </w:pPr>
    </w:p>
    <w:p w14:paraId="0F3BFBDD" w14:textId="77777777" w:rsidR="00C362BC" w:rsidRPr="00881FAA" w:rsidRDefault="00C362BC" w:rsidP="00C362BC">
      <w:pPr>
        <w:jc w:val="both"/>
        <w:rPr>
          <w:sz w:val="22"/>
          <w:szCs w:val="22"/>
        </w:rPr>
      </w:pPr>
      <w:r w:rsidRPr="00881FAA">
        <w:rPr>
          <w:sz w:val="22"/>
          <w:szCs w:val="22"/>
        </w:rPr>
        <w:t xml:space="preserve">In our view, </w:t>
      </w:r>
      <w:r>
        <w:rPr>
          <w:sz w:val="22"/>
          <w:szCs w:val="22"/>
        </w:rPr>
        <w:t xml:space="preserve">the agreed </w:t>
      </w:r>
      <w:r w:rsidRPr="00881FAA">
        <w:rPr>
          <w:sz w:val="22"/>
          <w:szCs w:val="22"/>
        </w:rPr>
        <w:t xml:space="preserve">PRACH adaptation </w:t>
      </w:r>
      <w:r>
        <w:rPr>
          <w:sz w:val="22"/>
          <w:szCs w:val="22"/>
        </w:rPr>
        <w:t xml:space="preserve">based on additional PRACH resources </w:t>
      </w:r>
      <w:r w:rsidRPr="00881FAA">
        <w:rPr>
          <w:sz w:val="22"/>
          <w:szCs w:val="22"/>
        </w:rPr>
        <w:t>should be applied for both 4-step RACH and 2-step RACH (if configured</w:t>
      </w:r>
      <w:r>
        <w:rPr>
          <w:sz w:val="22"/>
          <w:szCs w:val="22"/>
        </w:rPr>
        <w:t xml:space="preserve"> in the cell</w:t>
      </w:r>
      <w:r w:rsidRPr="00881FAA">
        <w:rPr>
          <w:sz w:val="22"/>
          <w:szCs w:val="22"/>
        </w:rPr>
        <w:t xml:space="preserve">). </w:t>
      </w:r>
      <w:r>
        <w:rPr>
          <w:sz w:val="22"/>
          <w:szCs w:val="22"/>
        </w:rPr>
        <w:t xml:space="preserve">Particularly for 2-step RACH, further clarifications and considerations would be needed. For instance, it is not clear whether additional PUSCH </w:t>
      </w:r>
      <w:r w:rsidRPr="00C50D45">
        <w:rPr>
          <w:sz w:val="22"/>
          <w:szCs w:val="22"/>
        </w:rPr>
        <w:t xml:space="preserve">resources for NES-capable </w:t>
      </w:r>
      <w:r>
        <w:rPr>
          <w:sz w:val="22"/>
          <w:szCs w:val="22"/>
        </w:rPr>
        <w:t>shall be considered for MsgA payload transmission or the same PUSCH as configured for legacy UEs shall be considered.</w:t>
      </w:r>
    </w:p>
    <w:p w14:paraId="0B3A0D21" w14:textId="01B5E008" w:rsidR="00C362BC" w:rsidRPr="00B74170" w:rsidRDefault="00C362BC" w:rsidP="00C362BC">
      <w:pPr>
        <w:jc w:val="both"/>
        <w:rPr>
          <w:b/>
          <w:bCs/>
          <w:sz w:val="22"/>
          <w:szCs w:val="22"/>
        </w:rPr>
      </w:pPr>
      <w:r w:rsidRPr="00B74170">
        <w:rPr>
          <w:b/>
          <w:bCs/>
          <w:sz w:val="22"/>
          <w:szCs w:val="22"/>
        </w:rPr>
        <w:t>Proposal</w:t>
      </w:r>
      <w:r w:rsidR="0045434A">
        <w:rPr>
          <w:b/>
          <w:bCs/>
          <w:sz w:val="22"/>
          <w:szCs w:val="22"/>
        </w:rPr>
        <w:t xml:space="preserve"> </w:t>
      </w:r>
      <w:r w:rsidR="006B3783">
        <w:rPr>
          <w:b/>
          <w:bCs/>
          <w:sz w:val="22"/>
          <w:szCs w:val="22"/>
        </w:rPr>
        <w:t>3</w:t>
      </w:r>
      <w:r w:rsidRPr="00B74170">
        <w:rPr>
          <w:b/>
          <w:bCs/>
          <w:sz w:val="22"/>
          <w:szCs w:val="22"/>
        </w:rPr>
        <w:t xml:space="preserve">: </w:t>
      </w:r>
      <w:r w:rsidRPr="00B9720E">
        <w:rPr>
          <w:sz w:val="22"/>
          <w:szCs w:val="22"/>
        </w:rPr>
        <w:t>Clarify whether further considerations are needed for the 2-step PRACH adaptation e.g., the resource used by the UE to transmit MsgA</w:t>
      </w:r>
      <w:r w:rsidRPr="00B74170">
        <w:rPr>
          <w:b/>
          <w:bCs/>
          <w:sz w:val="22"/>
          <w:szCs w:val="22"/>
        </w:rPr>
        <w:t xml:space="preserve">. </w:t>
      </w:r>
    </w:p>
    <w:p w14:paraId="4D16552C" w14:textId="77777777" w:rsidR="00C362BC" w:rsidRPr="00B74170" w:rsidRDefault="00C362BC" w:rsidP="00C362BC">
      <w:pPr>
        <w:spacing w:after="60"/>
        <w:jc w:val="both"/>
        <w:rPr>
          <w:sz w:val="22"/>
          <w:szCs w:val="22"/>
        </w:rPr>
      </w:pPr>
      <w:r w:rsidRPr="00B74170">
        <w:rPr>
          <w:sz w:val="22"/>
          <w:szCs w:val="22"/>
        </w:rPr>
        <w:t xml:space="preserve">There are two types of PRACH that can be configured: </w:t>
      </w:r>
    </w:p>
    <w:p w14:paraId="6CCE5CF0" w14:textId="77777777" w:rsidR="00C362BC" w:rsidRPr="00B74170" w:rsidRDefault="00C362BC" w:rsidP="00C362BC">
      <w:pPr>
        <w:pStyle w:val="ListParagraph"/>
        <w:numPr>
          <w:ilvl w:val="0"/>
          <w:numId w:val="22"/>
        </w:numPr>
        <w:overflowPunct w:val="0"/>
        <w:autoSpaceDE w:val="0"/>
        <w:autoSpaceDN w:val="0"/>
        <w:adjustRightInd w:val="0"/>
        <w:jc w:val="both"/>
        <w:textAlignment w:val="baseline"/>
        <w:rPr>
          <w:sz w:val="22"/>
          <w:szCs w:val="22"/>
        </w:rPr>
      </w:pPr>
      <w:r w:rsidRPr="00B74170">
        <w:rPr>
          <w:sz w:val="22"/>
          <w:szCs w:val="22"/>
        </w:rPr>
        <w:t>PRACH associated with CBRA configured by cell-specific signaling</w:t>
      </w:r>
      <w:r>
        <w:rPr>
          <w:sz w:val="22"/>
          <w:szCs w:val="22"/>
        </w:rPr>
        <w:t>.</w:t>
      </w:r>
      <w:r w:rsidRPr="00B74170">
        <w:rPr>
          <w:sz w:val="22"/>
          <w:szCs w:val="22"/>
        </w:rPr>
        <w:t xml:space="preserve"> </w:t>
      </w:r>
    </w:p>
    <w:p w14:paraId="43D048DE" w14:textId="77777777" w:rsidR="00C362BC" w:rsidRPr="00B74170" w:rsidRDefault="00C362BC" w:rsidP="00C362BC">
      <w:pPr>
        <w:pStyle w:val="ListParagraph"/>
        <w:numPr>
          <w:ilvl w:val="0"/>
          <w:numId w:val="22"/>
        </w:numPr>
        <w:overflowPunct w:val="0"/>
        <w:autoSpaceDE w:val="0"/>
        <w:autoSpaceDN w:val="0"/>
        <w:adjustRightInd w:val="0"/>
        <w:jc w:val="both"/>
        <w:textAlignment w:val="baseline"/>
        <w:rPr>
          <w:sz w:val="22"/>
          <w:szCs w:val="22"/>
        </w:rPr>
      </w:pPr>
      <w:r w:rsidRPr="00B74170">
        <w:rPr>
          <w:sz w:val="22"/>
          <w:szCs w:val="22"/>
        </w:rPr>
        <w:t>PRACH associated with CFRA configured by UE-dedicated signaling</w:t>
      </w:r>
      <w:r>
        <w:rPr>
          <w:sz w:val="22"/>
          <w:szCs w:val="22"/>
        </w:rPr>
        <w:t>.</w:t>
      </w:r>
    </w:p>
    <w:p w14:paraId="288832DC" w14:textId="77777777" w:rsidR="00C362BC" w:rsidRPr="00B74170" w:rsidRDefault="00C362BC" w:rsidP="00C362BC">
      <w:pPr>
        <w:jc w:val="both"/>
        <w:rPr>
          <w:sz w:val="22"/>
          <w:szCs w:val="22"/>
        </w:rPr>
      </w:pPr>
      <w:r w:rsidRPr="00B74170">
        <w:rPr>
          <w:sz w:val="22"/>
          <w:szCs w:val="22"/>
        </w:rPr>
        <w:t xml:space="preserve">The agreed PRACH adaptation shall at least target CBRA procedures. PRACH adaptation associated with CFRA procedures </w:t>
      </w:r>
      <w:r>
        <w:rPr>
          <w:sz w:val="22"/>
          <w:szCs w:val="22"/>
        </w:rPr>
        <w:t xml:space="preserve">shall be studied </w:t>
      </w:r>
      <w:r w:rsidRPr="00B74170">
        <w:rPr>
          <w:sz w:val="22"/>
          <w:szCs w:val="22"/>
        </w:rPr>
        <w:t>as well, if time allows.</w:t>
      </w:r>
    </w:p>
    <w:p w14:paraId="0C13DCF8" w14:textId="396038D2" w:rsidR="00C362BC" w:rsidRDefault="00C362BC" w:rsidP="00C362BC">
      <w:pPr>
        <w:jc w:val="both"/>
        <w:rPr>
          <w:b/>
          <w:sz w:val="22"/>
          <w:szCs w:val="22"/>
        </w:rPr>
      </w:pPr>
      <w:r w:rsidRPr="00B74170">
        <w:rPr>
          <w:b/>
          <w:bCs/>
          <w:sz w:val="22"/>
          <w:szCs w:val="22"/>
        </w:rPr>
        <w:t>Proposal</w:t>
      </w:r>
      <w:r w:rsidR="00B9720E">
        <w:rPr>
          <w:b/>
          <w:bCs/>
          <w:sz w:val="22"/>
          <w:szCs w:val="22"/>
        </w:rPr>
        <w:t xml:space="preserve"> </w:t>
      </w:r>
      <w:r w:rsidR="006B3783">
        <w:rPr>
          <w:b/>
          <w:bCs/>
          <w:sz w:val="22"/>
          <w:szCs w:val="22"/>
        </w:rPr>
        <w:t>4</w:t>
      </w:r>
      <w:r w:rsidRPr="00B74170">
        <w:rPr>
          <w:b/>
          <w:bCs/>
          <w:sz w:val="22"/>
          <w:szCs w:val="22"/>
        </w:rPr>
        <w:t>:</w:t>
      </w:r>
      <w:r w:rsidRPr="00B74170">
        <w:rPr>
          <w:b/>
          <w:sz w:val="22"/>
          <w:szCs w:val="22"/>
        </w:rPr>
        <w:t xml:space="preserve"> </w:t>
      </w:r>
      <w:r w:rsidRPr="00B9720E">
        <w:rPr>
          <w:sz w:val="22"/>
          <w:szCs w:val="22"/>
        </w:rPr>
        <w:t xml:space="preserve">PRACH adaptation solution(s) are </w:t>
      </w:r>
      <w:r w:rsidR="00586C31" w:rsidRPr="00B9720E">
        <w:rPr>
          <w:sz w:val="22"/>
          <w:szCs w:val="22"/>
        </w:rPr>
        <w:t xml:space="preserve">at least </w:t>
      </w:r>
      <w:r w:rsidRPr="00B9720E">
        <w:rPr>
          <w:sz w:val="22"/>
          <w:szCs w:val="22"/>
        </w:rPr>
        <w:t>applied to CBRA. PRACH adaptation applied to CFRA shall also be investigated, if time allows, however no CFRA-specific PRACH adaptation solutions should be considered</w:t>
      </w:r>
      <w:r>
        <w:rPr>
          <w:b/>
          <w:sz w:val="22"/>
          <w:szCs w:val="22"/>
        </w:rPr>
        <w:t>.</w:t>
      </w:r>
    </w:p>
    <w:p w14:paraId="7110CEA9" w14:textId="77777777" w:rsidR="00C362BC" w:rsidRPr="005904E0" w:rsidRDefault="00C362BC" w:rsidP="00C362BC">
      <w:pPr>
        <w:jc w:val="both"/>
        <w:rPr>
          <w:b/>
          <w:bCs/>
          <w:sz w:val="22"/>
          <w:szCs w:val="22"/>
        </w:rPr>
      </w:pPr>
      <w:r w:rsidRPr="005904E0">
        <w:rPr>
          <w:sz w:val="22"/>
          <w:szCs w:val="22"/>
        </w:rPr>
        <w:t>The likelihood that cells are designed to only serve R19 UEs is low; thus, the PRACH adaptation should be applicable to cells that support both legacy and Rel-19 (NES-capable) UEs.</w:t>
      </w:r>
      <w:r>
        <w:rPr>
          <w:sz w:val="22"/>
          <w:szCs w:val="22"/>
        </w:rPr>
        <w:t xml:space="preserve"> Moreover, in order to avoid any impact on legacy UEs as noted in the WID, and to enable the initial access for all UEs before being able to identify whether they are legacy or NES-capable UEs, the cell should support both legacy and NES-capable UEs.</w:t>
      </w:r>
    </w:p>
    <w:p w14:paraId="2CD52EEB" w14:textId="3B70A6AF" w:rsidR="00C362BC" w:rsidRPr="00B9720E" w:rsidRDefault="00C362BC" w:rsidP="00C362BC">
      <w:pPr>
        <w:jc w:val="both"/>
        <w:rPr>
          <w:sz w:val="22"/>
          <w:szCs w:val="22"/>
        </w:rPr>
      </w:pPr>
      <w:r w:rsidRPr="00900738">
        <w:rPr>
          <w:b/>
          <w:sz w:val="22"/>
          <w:szCs w:val="22"/>
        </w:rPr>
        <w:t>Proposal</w:t>
      </w:r>
      <w:r w:rsidR="0045434A">
        <w:rPr>
          <w:b/>
          <w:sz w:val="22"/>
          <w:szCs w:val="22"/>
        </w:rPr>
        <w:t xml:space="preserve"> </w:t>
      </w:r>
      <w:r w:rsidR="006B3783">
        <w:rPr>
          <w:b/>
          <w:sz w:val="22"/>
          <w:szCs w:val="22"/>
        </w:rPr>
        <w:t>5</w:t>
      </w:r>
      <w:r w:rsidRPr="00900738">
        <w:rPr>
          <w:b/>
          <w:sz w:val="22"/>
          <w:szCs w:val="22"/>
        </w:rPr>
        <w:t xml:space="preserve">: </w:t>
      </w:r>
      <w:r w:rsidRPr="00B9720E">
        <w:rPr>
          <w:sz w:val="22"/>
          <w:szCs w:val="22"/>
        </w:rPr>
        <w:t>PRACH adaptation should be applicable to cells that support both legacy and Rel-19 UEs.</w:t>
      </w:r>
    </w:p>
    <w:p w14:paraId="11FFE9AF" w14:textId="55AAF3A2" w:rsidR="000275CC" w:rsidRPr="00B9720E" w:rsidRDefault="000275CC" w:rsidP="000275CC">
      <w:pPr>
        <w:spacing w:before="120"/>
        <w:jc w:val="both"/>
        <w:rPr>
          <w:bCs/>
          <w:color w:val="000000" w:themeColor="text1"/>
          <w:sz w:val="22"/>
          <w:szCs w:val="22"/>
        </w:rPr>
      </w:pPr>
      <w:r w:rsidRPr="00B9720E">
        <w:rPr>
          <w:bCs/>
          <w:color w:val="000000" w:themeColor="text1"/>
          <w:sz w:val="22"/>
          <w:szCs w:val="22"/>
        </w:rPr>
        <w:t xml:space="preserve">The configuration of a PRACH configuration index for the additional PRACH resources different from the PRACH configuration index for the legacy resource offers more flexibility to the NW and can help accommodating scheduler needs. </w:t>
      </w:r>
      <w:r w:rsidR="00312B08" w:rsidRPr="00B9720E">
        <w:rPr>
          <w:bCs/>
          <w:color w:val="000000" w:themeColor="text1"/>
          <w:sz w:val="22"/>
          <w:szCs w:val="22"/>
        </w:rPr>
        <w:t>However, the</w:t>
      </w:r>
      <w:r w:rsidRPr="00B9720E">
        <w:rPr>
          <w:bCs/>
          <w:color w:val="000000" w:themeColor="text1"/>
          <w:sz w:val="22"/>
          <w:szCs w:val="22"/>
        </w:rPr>
        <w:t xml:space="preserve"> possible overlaps between sub-sets of ROs would need to be further studied in this case</w:t>
      </w:r>
      <w:r w:rsidR="00000E9D">
        <w:rPr>
          <w:bCs/>
          <w:color w:val="000000" w:themeColor="text1"/>
          <w:sz w:val="22"/>
          <w:szCs w:val="22"/>
        </w:rPr>
        <w:t>, which is under discussion in RAN1</w:t>
      </w:r>
      <w:r w:rsidRPr="00B9720E">
        <w:rPr>
          <w:bCs/>
          <w:color w:val="000000" w:themeColor="text1"/>
          <w:sz w:val="22"/>
          <w:szCs w:val="22"/>
        </w:rPr>
        <w:t xml:space="preserve">. </w:t>
      </w:r>
    </w:p>
    <w:p w14:paraId="5FCE2240" w14:textId="77777777" w:rsidR="00C03DF5" w:rsidRDefault="003E789A" w:rsidP="008179D3">
      <w:pPr>
        <w:spacing w:before="120"/>
        <w:jc w:val="both"/>
        <w:rPr>
          <w:bCs/>
          <w:color w:val="000000" w:themeColor="text1"/>
          <w:sz w:val="22"/>
          <w:szCs w:val="22"/>
        </w:rPr>
      </w:pPr>
      <w:r w:rsidRPr="00B9720E">
        <w:rPr>
          <w:bCs/>
          <w:color w:val="000000" w:themeColor="text1"/>
          <w:sz w:val="22"/>
          <w:szCs w:val="22"/>
        </w:rPr>
        <w:t xml:space="preserve">The configuration of the PRACH configuration index for the additional PRACH resources as the legacy resource allows the network energy consumption for PRACH reception to occur mainly (or only) during system frames where legacy ROs are located and, at the same time, ensures that PRACH resources are not overlapping in time and/or </w:t>
      </w:r>
      <w:r w:rsidR="00AB4D8F" w:rsidRPr="00B9720E">
        <w:rPr>
          <w:bCs/>
          <w:color w:val="000000" w:themeColor="text1"/>
          <w:sz w:val="22"/>
          <w:szCs w:val="22"/>
        </w:rPr>
        <w:t>frequency</w:t>
      </w:r>
      <w:r w:rsidR="00C03DF5">
        <w:rPr>
          <w:bCs/>
          <w:color w:val="000000" w:themeColor="text1"/>
          <w:sz w:val="22"/>
          <w:szCs w:val="22"/>
        </w:rPr>
        <w:t xml:space="preserve">. </w:t>
      </w:r>
    </w:p>
    <w:p w14:paraId="40E03BBB" w14:textId="68BD0A8F" w:rsidR="00312B08" w:rsidRPr="00BA6E8D" w:rsidRDefault="00C03DF5" w:rsidP="008179D3">
      <w:pPr>
        <w:spacing w:before="120"/>
        <w:jc w:val="both"/>
        <w:rPr>
          <w:color w:val="000000" w:themeColor="text1"/>
          <w:sz w:val="22"/>
          <w:szCs w:val="22"/>
        </w:rPr>
      </w:pPr>
      <w:r>
        <w:rPr>
          <w:bCs/>
          <w:color w:val="000000" w:themeColor="text1"/>
          <w:sz w:val="22"/>
          <w:szCs w:val="22"/>
        </w:rPr>
        <w:t xml:space="preserve">Additional </w:t>
      </w:r>
      <w:r w:rsidR="009D35F4">
        <w:rPr>
          <w:bCs/>
          <w:color w:val="000000" w:themeColor="text1"/>
          <w:sz w:val="22"/>
          <w:szCs w:val="22"/>
        </w:rPr>
        <w:t>mechanisms</w:t>
      </w:r>
      <w:r>
        <w:rPr>
          <w:bCs/>
          <w:color w:val="000000" w:themeColor="text1"/>
          <w:sz w:val="22"/>
          <w:szCs w:val="22"/>
        </w:rPr>
        <w:t xml:space="preserve"> are </w:t>
      </w:r>
      <w:r w:rsidR="009D35F4">
        <w:rPr>
          <w:bCs/>
          <w:color w:val="000000" w:themeColor="text1"/>
          <w:sz w:val="22"/>
          <w:szCs w:val="22"/>
        </w:rPr>
        <w:t xml:space="preserve">also </w:t>
      </w:r>
      <w:r>
        <w:rPr>
          <w:bCs/>
          <w:color w:val="000000" w:themeColor="text1"/>
          <w:sz w:val="22"/>
          <w:szCs w:val="22"/>
        </w:rPr>
        <w:t xml:space="preserve">being discussed in RAN1 for determining the additional PRACH resources in time domain including time offset, RO muting/masking </w:t>
      </w:r>
      <w:r w:rsidR="005D693F">
        <w:rPr>
          <w:bCs/>
          <w:color w:val="000000" w:themeColor="text1"/>
          <w:sz w:val="22"/>
          <w:szCs w:val="22"/>
        </w:rPr>
        <w:t>but we should wait for RAN1 progress on this</w:t>
      </w:r>
      <w:r w:rsidR="00C67889">
        <w:rPr>
          <w:bCs/>
          <w:color w:val="000000" w:themeColor="text1"/>
          <w:sz w:val="22"/>
          <w:szCs w:val="22"/>
        </w:rPr>
        <w:t xml:space="preserve"> before discussing RAN2 i</w:t>
      </w:r>
      <w:r w:rsidR="00C67889" w:rsidRPr="00B9720E">
        <w:rPr>
          <w:bCs/>
          <w:color w:val="000000" w:themeColor="text1"/>
          <w:sz w:val="22"/>
          <w:szCs w:val="22"/>
        </w:rPr>
        <w:t>mplications</w:t>
      </w:r>
      <w:r w:rsidR="003E789A" w:rsidRPr="00B9720E">
        <w:rPr>
          <w:bCs/>
          <w:color w:val="000000" w:themeColor="text1"/>
          <w:sz w:val="22"/>
          <w:szCs w:val="22"/>
        </w:rPr>
        <w:t xml:space="preserve">. </w:t>
      </w:r>
    </w:p>
    <w:p w14:paraId="16FD5E13" w14:textId="6BB7629C" w:rsidR="00312B08" w:rsidRPr="00B9720E" w:rsidRDefault="00312B08" w:rsidP="003E789A">
      <w:pPr>
        <w:spacing w:after="0"/>
        <w:jc w:val="both"/>
        <w:rPr>
          <w:bCs/>
          <w:color w:val="000000" w:themeColor="text1"/>
          <w:sz w:val="22"/>
          <w:szCs w:val="22"/>
        </w:rPr>
      </w:pPr>
      <w:r w:rsidRPr="009D24A1">
        <w:rPr>
          <w:b/>
          <w:color w:val="000000" w:themeColor="text1"/>
          <w:sz w:val="22"/>
          <w:szCs w:val="22"/>
        </w:rPr>
        <w:t>Proposal</w:t>
      </w:r>
      <w:r w:rsidR="00814B7D">
        <w:rPr>
          <w:b/>
          <w:color w:val="000000" w:themeColor="text1"/>
          <w:sz w:val="22"/>
          <w:szCs w:val="22"/>
        </w:rPr>
        <w:t xml:space="preserve"> </w:t>
      </w:r>
      <w:r w:rsidR="006B3783">
        <w:rPr>
          <w:b/>
          <w:color w:val="000000" w:themeColor="text1"/>
          <w:sz w:val="22"/>
          <w:szCs w:val="22"/>
        </w:rPr>
        <w:t>6</w:t>
      </w:r>
      <w:r w:rsidRPr="009D24A1">
        <w:rPr>
          <w:b/>
          <w:color w:val="000000" w:themeColor="text1"/>
          <w:sz w:val="22"/>
          <w:szCs w:val="22"/>
        </w:rPr>
        <w:t xml:space="preserve">: </w:t>
      </w:r>
      <w:r w:rsidR="00DB6F45" w:rsidRPr="00B9720E">
        <w:rPr>
          <w:bCs/>
          <w:color w:val="000000" w:themeColor="text1"/>
          <w:sz w:val="22"/>
          <w:szCs w:val="22"/>
        </w:rPr>
        <w:t>RAN2 to wait for RAN1 to conclude on</w:t>
      </w:r>
      <w:r w:rsidR="00813AFB">
        <w:rPr>
          <w:bCs/>
          <w:color w:val="000000" w:themeColor="text1"/>
          <w:sz w:val="22"/>
          <w:szCs w:val="22"/>
        </w:rPr>
        <w:t xml:space="preserve"> PRACH adaptation mechanisms before discussing RAN2 i</w:t>
      </w:r>
      <w:r w:rsidR="00DB6F45" w:rsidRPr="00B9720E">
        <w:rPr>
          <w:bCs/>
          <w:color w:val="000000" w:themeColor="text1"/>
          <w:sz w:val="22"/>
          <w:szCs w:val="22"/>
        </w:rPr>
        <w:t>mplications</w:t>
      </w:r>
      <w:r w:rsidRPr="00B9720E">
        <w:rPr>
          <w:bCs/>
          <w:color w:val="000000" w:themeColor="text1"/>
          <w:sz w:val="22"/>
          <w:szCs w:val="22"/>
        </w:rPr>
        <w:t>.</w:t>
      </w:r>
    </w:p>
    <w:p w14:paraId="58662979" w14:textId="0A3D4B6A" w:rsidR="00C67889" w:rsidRDefault="00C67889" w:rsidP="00C67889">
      <w:pPr>
        <w:spacing w:before="120"/>
        <w:jc w:val="both"/>
        <w:rPr>
          <w:sz w:val="22"/>
          <w:szCs w:val="22"/>
        </w:rPr>
      </w:pPr>
      <w:r>
        <w:rPr>
          <w:bCs/>
          <w:color w:val="000000" w:themeColor="text1"/>
          <w:sz w:val="22"/>
          <w:szCs w:val="22"/>
        </w:rPr>
        <w:t xml:space="preserve">One potential implication on RAN2 could be </w:t>
      </w:r>
      <w:r>
        <w:rPr>
          <w:sz w:val="22"/>
          <w:szCs w:val="22"/>
        </w:rPr>
        <w:t xml:space="preserve">on the </w:t>
      </w:r>
      <w:r w:rsidRPr="009817A2">
        <w:rPr>
          <w:sz w:val="22"/>
          <w:szCs w:val="22"/>
        </w:rPr>
        <w:t>Conditional handover (CHO) procedure</w:t>
      </w:r>
      <w:r w:rsidRPr="008C65D0">
        <w:rPr>
          <w:sz w:val="22"/>
          <w:szCs w:val="22"/>
        </w:rPr>
        <w:t xml:space="preserve"> </w:t>
      </w:r>
      <w:r w:rsidRPr="009817A2">
        <w:rPr>
          <w:sz w:val="22"/>
          <w:szCs w:val="22"/>
        </w:rPr>
        <w:t xml:space="preserve">as the NW does not know the time instant when UE </w:t>
      </w:r>
      <w:r w:rsidR="0084371D">
        <w:rPr>
          <w:sz w:val="22"/>
          <w:szCs w:val="22"/>
        </w:rPr>
        <w:t>initiates</w:t>
      </w:r>
      <w:r w:rsidRPr="009817A2">
        <w:rPr>
          <w:sz w:val="22"/>
          <w:szCs w:val="22"/>
        </w:rPr>
        <w:t xml:space="preserve"> CHO</w:t>
      </w:r>
      <w:r>
        <w:rPr>
          <w:sz w:val="22"/>
          <w:szCs w:val="22"/>
        </w:rPr>
        <w:t xml:space="preserve"> and the UE can’t be aware in advance about the potential activation/deactivation of additional PRACH resources at </w:t>
      </w:r>
      <w:r w:rsidR="0084371D">
        <w:rPr>
          <w:sz w:val="22"/>
          <w:szCs w:val="22"/>
        </w:rPr>
        <w:t xml:space="preserve">one or more potential </w:t>
      </w:r>
      <w:r>
        <w:rPr>
          <w:sz w:val="22"/>
          <w:szCs w:val="22"/>
        </w:rPr>
        <w:t>target cell</w:t>
      </w:r>
      <w:r w:rsidR="0084371D">
        <w:rPr>
          <w:sz w:val="22"/>
          <w:szCs w:val="22"/>
        </w:rPr>
        <w:t>(s)</w:t>
      </w:r>
      <w:r>
        <w:rPr>
          <w:sz w:val="22"/>
          <w:szCs w:val="22"/>
        </w:rPr>
        <w:t xml:space="preserve">. </w:t>
      </w:r>
      <w:r w:rsidR="56C73BF6" w:rsidRPr="071105CA">
        <w:rPr>
          <w:sz w:val="22"/>
          <w:szCs w:val="22"/>
        </w:rPr>
        <w:t>So RAN2 should consider whether it is feasible to support additional PRACH resources for CHO and if they want to be supported then how it can be achieved.</w:t>
      </w:r>
    </w:p>
    <w:p w14:paraId="33508927" w14:textId="754EEF1C" w:rsidR="00C67889" w:rsidRDefault="00C67889" w:rsidP="00C67889">
      <w:pPr>
        <w:jc w:val="both"/>
        <w:rPr>
          <w:b/>
          <w:sz w:val="22"/>
          <w:szCs w:val="22"/>
        </w:rPr>
      </w:pPr>
      <w:r w:rsidRPr="00B74170">
        <w:rPr>
          <w:b/>
          <w:bCs/>
          <w:sz w:val="22"/>
          <w:szCs w:val="22"/>
        </w:rPr>
        <w:t>Proposal</w:t>
      </w:r>
      <w:r>
        <w:rPr>
          <w:b/>
          <w:bCs/>
          <w:sz w:val="22"/>
          <w:szCs w:val="22"/>
        </w:rPr>
        <w:t xml:space="preserve"> </w:t>
      </w:r>
      <w:r w:rsidR="006B3783">
        <w:rPr>
          <w:b/>
          <w:bCs/>
          <w:sz w:val="22"/>
          <w:szCs w:val="22"/>
        </w:rPr>
        <w:t>7</w:t>
      </w:r>
      <w:r w:rsidRPr="00B74170">
        <w:rPr>
          <w:b/>
          <w:bCs/>
          <w:sz w:val="22"/>
          <w:szCs w:val="22"/>
        </w:rPr>
        <w:t>:</w:t>
      </w:r>
      <w:r w:rsidRPr="00B74170">
        <w:rPr>
          <w:b/>
          <w:sz w:val="22"/>
          <w:szCs w:val="22"/>
        </w:rPr>
        <w:t xml:space="preserve"> </w:t>
      </w:r>
      <w:r w:rsidRPr="00B9720E">
        <w:rPr>
          <w:sz w:val="22"/>
          <w:szCs w:val="22"/>
        </w:rPr>
        <w:t xml:space="preserve">Study whether further </w:t>
      </w:r>
      <w:r>
        <w:rPr>
          <w:sz w:val="22"/>
          <w:szCs w:val="22"/>
        </w:rPr>
        <w:t xml:space="preserve">enhancements are </w:t>
      </w:r>
      <w:r w:rsidRPr="00B9720E">
        <w:rPr>
          <w:sz w:val="22"/>
          <w:szCs w:val="22"/>
        </w:rPr>
        <w:t xml:space="preserve">needed for the </w:t>
      </w:r>
      <w:r w:rsidR="00990ABE">
        <w:rPr>
          <w:sz w:val="22"/>
          <w:szCs w:val="22"/>
        </w:rPr>
        <w:t xml:space="preserve">conditional </w:t>
      </w:r>
      <w:r>
        <w:rPr>
          <w:sz w:val="22"/>
          <w:szCs w:val="22"/>
        </w:rPr>
        <w:t>handover procedure when the additional PRACH resources are activated at one or more candidate target cells</w:t>
      </w:r>
      <w:r>
        <w:rPr>
          <w:b/>
          <w:sz w:val="22"/>
          <w:szCs w:val="22"/>
        </w:rPr>
        <w:t>.</w:t>
      </w:r>
    </w:p>
    <w:p w14:paraId="21D68FDC" w14:textId="45BB0A79" w:rsidR="000C4EC8" w:rsidRPr="000E4145" w:rsidRDefault="000C4EC8" w:rsidP="00C67889">
      <w:pPr>
        <w:jc w:val="both"/>
        <w:rPr>
          <w:bCs/>
          <w:sz w:val="22"/>
          <w:szCs w:val="22"/>
        </w:rPr>
      </w:pPr>
      <w:r w:rsidRPr="000E4145">
        <w:rPr>
          <w:bCs/>
          <w:sz w:val="22"/>
          <w:szCs w:val="22"/>
        </w:rPr>
        <w:t xml:space="preserve">Another </w:t>
      </w:r>
      <w:r w:rsidR="00BD56B2" w:rsidRPr="000E4145">
        <w:rPr>
          <w:bCs/>
          <w:sz w:val="22"/>
          <w:szCs w:val="22"/>
        </w:rPr>
        <w:t>implication on RAN2</w:t>
      </w:r>
      <w:r w:rsidR="00926E82" w:rsidRPr="000E4145">
        <w:rPr>
          <w:bCs/>
          <w:sz w:val="22"/>
          <w:szCs w:val="22"/>
        </w:rPr>
        <w:t xml:space="preserve"> </w:t>
      </w:r>
      <w:r w:rsidR="00043586">
        <w:rPr>
          <w:bCs/>
          <w:sz w:val="22"/>
          <w:szCs w:val="22"/>
        </w:rPr>
        <w:t>will</w:t>
      </w:r>
      <w:r w:rsidR="00926E82" w:rsidRPr="000E4145">
        <w:rPr>
          <w:bCs/>
          <w:sz w:val="22"/>
          <w:szCs w:val="22"/>
        </w:rPr>
        <w:t xml:space="preserve"> be </w:t>
      </w:r>
      <w:r w:rsidR="00A17A89" w:rsidRPr="000E4145">
        <w:rPr>
          <w:bCs/>
          <w:sz w:val="22"/>
          <w:szCs w:val="22"/>
        </w:rPr>
        <w:t>the beam failure recovery</w:t>
      </w:r>
      <w:r w:rsidR="00F261EF" w:rsidRPr="000E4145">
        <w:rPr>
          <w:bCs/>
          <w:sz w:val="22"/>
          <w:szCs w:val="22"/>
        </w:rPr>
        <w:t xml:space="preserve"> </w:t>
      </w:r>
      <w:r w:rsidR="00173FE8" w:rsidRPr="000E4145">
        <w:rPr>
          <w:bCs/>
          <w:sz w:val="22"/>
          <w:szCs w:val="22"/>
        </w:rPr>
        <w:t>configuration</w:t>
      </w:r>
      <w:r w:rsidR="00043586">
        <w:rPr>
          <w:bCs/>
          <w:sz w:val="22"/>
          <w:szCs w:val="22"/>
        </w:rPr>
        <w:t xml:space="preserve"> as for</w:t>
      </w:r>
      <w:r w:rsidR="008D3BF1" w:rsidRPr="000E4145">
        <w:rPr>
          <w:bCs/>
          <w:sz w:val="22"/>
          <w:szCs w:val="22"/>
        </w:rPr>
        <w:t xml:space="preserve"> beam failure recovery</w:t>
      </w:r>
      <w:r w:rsidR="00043586">
        <w:rPr>
          <w:bCs/>
          <w:sz w:val="22"/>
          <w:szCs w:val="22"/>
        </w:rPr>
        <w:t xml:space="preserve"> </w:t>
      </w:r>
      <w:r w:rsidR="000954F5" w:rsidRPr="000E4145">
        <w:rPr>
          <w:bCs/>
          <w:sz w:val="22"/>
          <w:szCs w:val="22"/>
        </w:rPr>
        <w:t xml:space="preserve">RAN2 </w:t>
      </w:r>
      <w:r w:rsidR="00043586">
        <w:rPr>
          <w:bCs/>
          <w:sz w:val="22"/>
          <w:szCs w:val="22"/>
        </w:rPr>
        <w:t xml:space="preserve">needs </w:t>
      </w:r>
      <w:r w:rsidR="000954F5" w:rsidRPr="000E4145">
        <w:rPr>
          <w:bCs/>
          <w:sz w:val="22"/>
          <w:szCs w:val="22"/>
        </w:rPr>
        <w:t xml:space="preserve">to </w:t>
      </w:r>
      <w:r w:rsidR="00E85AE8" w:rsidRPr="000E4145">
        <w:rPr>
          <w:bCs/>
          <w:sz w:val="22"/>
          <w:szCs w:val="22"/>
        </w:rPr>
        <w:t xml:space="preserve">discuss further </w:t>
      </w:r>
      <w:r w:rsidR="00961A9E" w:rsidRPr="000E4145">
        <w:rPr>
          <w:bCs/>
          <w:sz w:val="22"/>
          <w:szCs w:val="22"/>
        </w:rPr>
        <w:t>how additional PRACH resources can be used for beam failure recovery.</w:t>
      </w:r>
    </w:p>
    <w:p w14:paraId="35094854" w14:textId="7037E980" w:rsidR="003E46BB" w:rsidRDefault="003E46BB" w:rsidP="00C67889">
      <w:pPr>
        <w:jc w:val="both"/>
        <w:rPr>
          <w:b/>
          <w:sz w:val="22"/>
          <w:szCs w:val="22"/>
        </w:rPr>
      </w:pPr>
      <w:r>
        <w:rPr>
          <w:b/>
          <w:sz w:val="22"/>
          <w:szCs w:val="22"/>
        </w:rPr>
        <w:t xml:space="preserve">Proposal </w:t>
      </w:r>
      <w:r w:rsidR="006B3783">
        <w:rPr>
          <w:b/>
          <w:sz w:val="22"/>
          <w:szCs w:val="22"/>
        </w:rPr>
        <w:t>8</w:t>
      </w:r>
      <w:r w:rsidR="00575EA3">
        <w:rPr>
          <w:b/>
          <w:sz w:val="22"/>
          <w:szCs w:val="22"/>
        </w:rPr>
        <w:t xml:space="preserve">: </w:t>
      </w:r>
      <w:r w:rsidR="00575EA3" w:rsidRPr="000E4145">
        <w:rPr>
          <w:bCs/>
          <w:sz w:val="22"/>
          <w:szCs w:val="22"/>
        </w:rPr>
        <w:t xml:space="preserve">RAN2 to </w:t>
      </w:r>
      <w:r w:rsidR="009E6855">
        <w:rPr>
          <w:bCs/>
          <w:sz w:val="22"/>
          <w:szCs w:val="22"/>
        </w:rPr>
        <w:t>consider</w:t>
      </w:r>
      <w:r w:rsidR="00575EA3" w:rsidRPr="000E4145">
        <w:rPr>
          <w:bCs/>
          <w:sz w:val="22"/>
          <w:szCs w:val="22"/>
        </w:rPr>
        <w:t xml:space="preserve"> </w:t>
      </w:r>
      <w:r w:rsidR="007F720E" w:rsidRPr="000E4145">
        <w:rPr>
          <w:bCs/>
          <w:sz w:val="22"/>
          <w:szCs w:val="22"/>
        </w:rPr>
        <w:t>how t</w:t>
      </w:r>
      <w:r w:rsidR="00070357" w:rsidRPr="000E4145">
        <w:rPr>
          <w:bCs/>
          <w:sz w:val="22"/>
          <w:szCs w:val="22"/>
        </w:rPr>
        <w:t xml:space="preserve">o enable </w:t>
      </w:r>
      <w:r w:rsidR="002118A6" w:rsidRPr="000E4145">
        <w:rPr>
          <w:bCs/>
          <w:sz w:val="22"/>
          <w:szCs w:val="22"/>
        </w:rPr>
        <w:t>usage of additional PRACH resources for beam failure recovery</w:t>
      </w:r>
      <w:r w:rsidR="00364227" w:rsidRPr="000E4145">
        <w:rPr>
          <w:bCs/>
          <w:sz w:val="22"/>
          <w:szCs w:val="22"/>
        </w:rPr>
        <w:t xml:space="preserve"> procedure.</w:t>
      </w:r>
    </w:p>
    <w:p w14:paraId="1999A500" w14:textId="51997157" w:rsidR="648E31AB" w:rsidRDefault="5B242D9F" w:rsidP="164A9A61">
      <w:pPr>
        <w:jc w:val="both"/>
        <w:rPr>
          <w:rFonts w:eastAsia="Times New Roman"/>
          <w:sz w:val="22"/>
          <w:szCs w:val="22"/>
          <w:lang w:val="en-GB"/>
        </w:rPr>
      </w:pPr>
      <w:r w:rsidRPr="301233F9">
        <w:rPr>
          <w:rFonts w:eastAsia="Times New Roman"/>
          <w:sz w:val="22"/>
          <w:szCs w:val="22"/>
          <w:lang w:val="en-GB"/>
        </w:rPr>
        <w:t xml:space="preserve">From our perspective, it is natural to expect that additional PRACH resources are configured semi-statically in Rel-19. Whether adaptation of the resources will be performed only via </w:t>
      </w:r>
      <w:r w:rsidRPr="164A9A61">
        <w:rPr>
          <w:color w:val="000000" w:themeColor="text1"/>
          <w:sz w:val="22"/>
          <w:szCs w:val="22"/>
          <w:lang w:val="en-GB"/>
        </w:rPr>
        <w:t>DCI format 1_0</w:t>
      </w:r>
      <w:r w:rsidRPr="301233F9">
        <w:rPr>
          <w:rFonts w:eastAsia="Times New Roman"/>
          <w:sz w:val="22"/>
          <w:szCs w:val="22"/>
          <w:lang w:val="en-GB"/>
        </w:rPr>
        <w:t>, as per RAN1#</w:t>
      </w:r>
      <w:r w:rsidRPr="103EF2FA">
        <w:rPr>
          <w:rFonts w:eastAsia="Times New Roman"/>
          <w:sz w:val="22"/>
          <w:szCs w:val="22"/>
          <w:lang w:val="en-GB"/>
        </w:rPr>
        <w:t>118bis</w:t>
      </w:r>
      <w:r w:rsidRPr="301233F9">
        <w:rPr>
          <w:rFonts w:eastAsia="Times New Roman"/>
          <w:sz w:val="22"/>
          <w:szCs w:val="22"/>
          <w:lang w:val="en-GB"/>
        </w:rPr>
        <w:t xml:space="preserve"> agreements, or also via semi-static signalling will </w:t>
      </w:r>
      <w:r w:rsidRPr="77688F62">
        <w:rPr>
          <w:rFonts w:eastAsia="Times New Roman"/>
          <w:sz w:val="22"/>
          <w:szCs w:val="22"/>
          <w:lang w:val="en-GB"/>
        </w:rPr>
        <w:t>need to be further</w:t>
      </w:r>
      <w:r w:rsidRPr="301233F9">
        <w:rPr>
          <w:rFonts w:eastAsia="Times New Roman"/>
          <w:sz w:val="22"/>
          <w:szCs w:val="22"/>
          <w:lang w:val="en-GB"/>
        </w:rPr>
        <w:t xml:space="preserve"> discussed</w:t>
      </w:r>
      <w:r w:rsidRPr="1DE94943">
        <w:rPr>
          <w:rFonts w:eastAsia="Times New Roman"/>
          <w:sz w:val="22"/>
          <w:szCs w:val="22"/>
          <w:lang w:val="en-GB"/>
        </w:rPr>
        <w:t>.</w:t>
      </w:r>
      <w:r w:rsidRPr="301233F9">
        <w:rPr>
          <w:rFonts w:eastAsia="Times New Roman"/>
          <w:sz w:val="22"/>
          <w:szCs w:val="22"/>
          <w:lang w:val="en-GB"/>
        </w:rPr>
        <w:t xml:space="preserve"> Indeed, system Information (SI), e.g. SIB1, could also be considered for indicating PRACH adaptation to UEs that have missed the DCI-based indication of additional PRACH resources for NES-capable UEs. The SIB1 would then include the information about the configuration of additional PRACH resources and the activation status. Such procedure would not require any SI change.</w:t>
      </w:r>
    </w:p>
    <w:p w14:paraId="64637A6B" w14:textId="2C05B5BC" w:rsidR="648E31AB" w:rsidRDefault="5B242D9F" w:rsidP="00FF0582">
      <w:pPr>
        <w:jc w:val="both"/>
        <w:rPr>
          <w:rFonts w:eastAsia="Times New Roman"/>
          <w:b/>
          <w:bCs/>
          <w:sz w:val="22"/>
          <w:szCs w:val="22"/>
          <w:lang w:val="en-GB"/>
        </w:rPr>
      </w:pPr>
      <w:r w:rsidRPr="301233F9">
        <w:rPr>
          <w:rFonts w:eastAsia="Times New Roman"/>
          <w:b/>
          <w:bCs/>
          <w:sz w:val="22"/>
          <w:szCs w:val="22"/>
          <w:lang w:val="en-GB"/>
        </w:rPr>
        <w:t>Proposal</w:t>
      </w:r>
      <w:r w:rsidR="00990ABE">
        <w:rPr>
          <w:rFonts w:eastAsia="Times New Roman"/>
          <w:b/>
          <w:bCs/>
          <w:sz w:val="22"/>
          <w:szCs w:val="22"/>
          <w:lang w:val="en-GB"/>
        </w:rPr>
        <w:t xml:space="preserve"> </w:t>
      </w:r>
      <w:r w:rsidR="006B3783">
        <w:rPr>
          <w:rFonts w:eastAsia="Times New Roman"/>
          <w:b/>
          <w:bCs/>
          <w:sz w:val="22"/>
          <w:szCs w:val="22"/>
          <w:lang w:val="en-GB"/>
        </w:rPr>
        <w:t>9</w:t>
      </w:r>
      <w:r w:rsidRPr="1DE94943">
        <w:rPr>
          <w:rFonts w:eastAsia="Times New Roman"/>
          <w:b/>
          <w:bCs/>
          <w:sz w:val="22"/>
          <w:szCs w:val="22"/>
          <w:lang w:val="en-GB"/>
        </w:rPr>
        <w:t xml:space="preserve">: </w:t>
      </w:r>
      <w:r w:rsidR="7A700636" w:rsidRPr="00990ABE">
        <w:rPr>
          <w:rFonts w:eastAsia="Times New Roman"/>
          <w:sz w:val="22"/>
          <w:szCs w:val="22"/>
          <w:lang w:val="en-GB"/>
        </w:rPr>
        <w:t>H</w:t>
      </w:r>
      <w:r w:rsidRPr="00990ABE">
        <w:rPr>
          <w:rFonts w:eastAsia="Times New Roman"/>
          <w:sz w:val="22"/>
          <w:szCs w:val="22"/>
          <w:lang w:val="en-GB"/>
        </w:rPr>
        <w:t>igher-layer signalling based on SI, e.g. SIB1, for PRACH adaptation</w:t>
      </w:r>
      <w:r w:rsidR="354F6D90" w:rsidRPr="00990ABE">
        <w:rPr>
          <w:rFonts w:eastAsia="Times New Roman"/>
          <w:sz w:val="22"/>
          <w:szCs w:val="22"/>
          <w:lang w:val="en-GB"/>
        </w:rPr>
        <w:t xml:space="preserve"> could be considered</w:t>
      </w:r>
      <w:r w:rsidRPr="00990ABE">
        <w:rPr>
          <w:rFonts w:eastAsia="Times New Roman"/>
          <w:sz w:val="22"/>
          <w:szCs w:val="22"/>
          <w:lang w:val="en-GB"/>
        </w:rPr>
        <w:t>, in addition to the DCI-based adaptation.</w:t>
      </w:r>
    </w:p>
    <w:p w14:paraId="6E561A35" w14:textId="7219A5DD" w:rsidR="00DB4A90" w:rsidRDefault="00DB4A90" w:rsidP="00DB4A90">
      <w:pPr>
        <w:jc w:val="both"/>
        <w:rPr>
          <w:bCs/>
          <w:sz w:val="22"/>
          <w:szCs w:val="22"/>
        </w:rPr>
      </w:pPr>
      <w:r w:rsidRPr="001C3023">
        <w:rPr>
          <w:b/>
          <w:bCs/>
          <w:sz w:val="22"/>
          <w:szCs w:val="22"/>
        </w:rPr>
        <w:t>Proposal</w:t>
      </w:r>
      <w:r w:rsidR="00951570" w:rsidRPr="001C3023">
        <w:rPr>
          <w:b/>
          <w:bCs/>
          <w:sz w:val="22"/>
          <w:szCs w:val="22"/>
        </w:rPr>
        <w:t xml:space="preserve"> </w:t>
      </w:r>
      <w:r w:rsidR="006B3783">
        <w:rPr>
          <w:b/>
          <w:bCs/>
          <w:sz w:val="22"/>
          <w:szCs w:val="22"/>
        </w:rPr>
        <w:t>10</w:t>
      </w:r>
      <w:r w:rsidRPr="001C3023">
        <w:rPr>
          <w:b/>
          <w:bCs/>
          <w:sz w:val="22"/>
          <w:szCs w:val="22"/>
        </w:rPr>
        <w:t>:</w:t>
      </w:r>
      <w:r w:rsidRPr="001C3023">
        <w:rPr>
          <w:b/>
          <w:sz w:val="22"/>
          <w:szCs w:val="22"/>
        </w:rPr>
        <w:t xml:space="preserve"> </w:t>
      </w:r>
      <w:r w:rsidR="00312B08" w:rsidRPr="001C3023">
        <w:rPr>
          <w:sz w:val="22"/>
          <w:szCs w:val="22"/>
        </w:rPr>
        <w:t>RAN2</w:t>
      </w:r>
      <w:r w:rsidRPr="00B72EBA">
        <w:rPr>
          <w:bCs/>
          <w:sz w:val="22"/>
          <w:szCs w:val="22"/>
        </w:rPr>
        <w:t xml:space="preserve"> </w:t>
      </w:r>
      <w:r w:rsidR="00A41AF4">
        <w:rPr>
          <w:bCs/>
          <w:sz w:val="22"/>
          <w:szCs w:val="22"/>
        </w:rPr>
        <w:t>needs to wait for more RAN1 inputs before we can progress detailed signaling of PRACH adaptation</w:t>
      </w:r>
    </w:p>
    <w:p w14:paraId="5D468261" w14:textId="4B7ABF30" w:rsidR="0012622F" w:rsidRPr="00DB4A90" w:rsidRDefault="0012622F" w:rsidP="0012622F">
      <w:pPr>
        <w:pStyle w:val="Heading2"/>
        <w:numPr>
          <w:ilvl w:val="1"/>
          <w:numId w:val="27"/>
        </w:numPr>
        <w:rPr>
          <w:lang w:val="en-US"/>
        </w:rPr>
      </w:pPr>
      <w:r w:rsidRPr="00C461E2">
        <w:rPr>
          <w:lang w:val="en-US"/>
        </w:rPr>
        <w:t>PRACH Adaptation in time domain in conjunction with adaptation of paging occasions</w:t>
      </w:r>
    </w:p>
    <w:p w14:paraId="75049BA7" w14:textId="77777777" w:rsidR="0012622F" w:rsidRDefault="0012622F" w:rsidP="0012622F">
      <w:pPr>
        <w:rPr>
          <w:sz w:val="22"/>
          <w:szCs w:val="22"/>
        </w:rPr>
      </w:pPr>
      <w:r w:rsidRPr="002E6A38">
        <w:rPr>
          <w:sz w:val="22"/>
          <w:szCs w:val="22"/>
        </w:rPr>
        <w:t>A key open aspect is how to handle the potential PRACH load increase, especially for Ns=8 or larger, when the POs are clustered in time</w:t>
      </w:r>
      <w:r>
        <w:rPr>
          <w:sz w:val="22"/>
          <w:szCs w:val="22"/>
        </w:rPr>
        <w:t xml:space="preserve"> as agreed by RAN2</w:t>
      </w:r>
      <w:r w:rsidRPr="002E6A38">
        <w:rPr>
          <w:sz w:val="22"/>
          <w:szCs w:val="22"/>
        </w:rPr>
        <w:t>.</w:t>
      </w:r>
    </w:p>
    <w:p w14:paraId="4CD43C65" w14:textId="77777777" w:rsidR="0012622F" w:rsidRPr="00C461E2" w:rsidRDefault="0012622F" w:rsidP="0012622F">
      <w:pPr>
        <w:rPr>
          <w:sz w:val="22"/>
          <w:szCs w:val="22"/>
        </w:rPr>
      </w:pPr>
      <w:r w:rsidRPr="00C461E2">
        <w:rPr>
          <w:sz w:val="22"/>
          <w:szCs w:val="22"/>
        </w:rPr>
        <w:t>The PRACH load level will inherently increase if the paging occasions are confined in time domain. This is because the UEs will have to be paged during such confined time period, thereby causing the UEs to respond to the paging also in a confined time interval.</w:t>
      </w:r>
      <w:r>
        <w:rPr>
          <w:sz w:val="22"/>
          <w:szCs w:val="22"/>
        </w:rPr>
        <w:t xml:space="preserve"> So it should be possible to temporarily increase the amount of PRACH resources in order to accommodate more clustered paging responses from UEs. The legacy approach of configuring a high amount/frequently occurring PRACH resources will impact the network’s resource availability and RO monitoring energy consumption. Thus, one approach which can be considered by RAN2 is to temporarily make additional PRACH resources available, when one or more UEs are paged. Such additional PRACH resources would not be available, when no UEs are paged, and thus the PRACH resource can be repurposed and the RO monitoring omitted. </w:t>
      </w:r>
    </w:p>
    <w:p w14:paraId="2DC681E0" w14:textId="5CFD14CE" w:rsidR="0012622F" w:rsidRPr="00E63263" w:rsidRDefault="0012622F" w:rsidP="00DB4A90">
      <w:pPr>
        <w:jc w:val="both"/>
        <w:rPr>
          <w:b/>
          <w:sz w:val="22"/>
          <w:szCs w:val="22"/>
        </w:rPr>
      </w:pPr>
      <w:r w:rsidRPr="00C461E2">
        <w:rPr>
          <w:b/>
          <w:bCs/>
          <w:sz w:val="22"/>
          <w:szCs w:val="22"/>
        </w:rPr>
        <w:t xml:space="preserve">Proposal </w:t>
      </w:r>
      <w:r>
        <w:rPr>
          <w:b/>
          <w:bCs/>
          <w:sz w:val="22"/>
          <w:szCs w:val="22"/>
        </w:rPr>
        <w:t>1</w:t>
      </w:r>
      <w:r w:rsidR="006B3783">
        <w:rPr>
          <w:b/>
          <w:bCs/>
          <w:sz w:val="22"/>
          <w:szCs w:val="22"/>
        </w:rPr>
        <w:t>1</w:t>
      </w:r>
      <w:r w:rsidRPr="00C461E2">
        <w:rPr>
          <w:b/>
          <w:bCs/>
          <w:sz w:val="22"/>
          <w:szCs w:val="22"/>
        </w:rPr>
        <w:t xml:space="preserve">: </w:t>
      </w:r>
      <w:r w:rsidRPr="00B72EBA">
        <w:rPr>
          <w:sz w:val="22"/>
          <w:szCs w:val="22"/>
        </w:rPr>
        <w:t xml:space="preserve">PRACH adaptation in time domain </w:t>
      </w:r>
      <w:r>
        <w:rPr>
          <w:sz w:val="22"/>
          <w:szCs w:val="22"/>
        </w:rPr>
        <w:t xml:space="preserve">is supported </w:t>
      </w:r>
      <w:r w:rsidRPr="00B72EBA">
        <w:rPr>
          <w:sz w:val="22"/>
          <w:szCs w:val="22"/>
        </w:rPr>
        <w:t xml:space="preserve">to </w:t>
      </w:r>
      <w:r>
        <w:rPr>
          <w:sz w:val="22"/>
          <w:szCs w:val="22"/>
        </w:rPr>
        <w:t>temporarily</w:t>
      </w:r>
      <w:r w:rsidRPr="00B72EBA">
        <w:rPr>
          <w:sz w:val="22"/>
          <w:szCs w:val="22"/>
        </w:rPr>
        <w:t xml:space="preserve"> </w:t>
      </w:r>
      <w:r>
        <w:rPr>
          <w:sz w:val="22"/>
          <w:szCs w:val="22"/>
        </w:rPr>
        <w:t xml:space="preserve">increase the PRACH capacity to be aligned with clustered paging and </w:t>
      </w:r>
      <w:r w:rsidRPr="00B72EBA">
        <w:rPr>
          <w:sz w:val="22"/>
          <w:szCs w:val="22"/>
        </w:rPr>
        <w:t>spread the PRACH load when paging occasion adaptation is used.</w:t>
      </w:r>
    </w:p>
    <w:p w14:paraId="71E51A1A" w14:textId="1B7691CD" w:rsidR="00DB4A90" w:rsidRPr="00DB4A90" w:rsidRDefault="001D714E" w:rsidP="00DB4A90">
      <w:pPr>
        <w:pStyle w:val="Heading1"/>
        <w:numPr>
          <w:ilvl w:val="0"/>
          <w:numId w:val="27"/>
        </w:numPr>
        <w:rPr>
          <w:lang w:val="en-US"/>
        </w:rPr>
      </w:pPr>
      <w:r w:rsidRPr="00C461E2">
        <w:rPr>
          <w:lang w:val="en-US"/>
        </w:rPr>
        <w:t>Adaptation of paging occasions</w:t>
      </w:r>
    </w:p>
    <w:p w14:paraId="40E602ED" w14:textId="1C2D9321" w:rsidR="007754BF" w:rsidRDefault="007754BF" w:rsidP="007754BF">
      <w:r>
        <w:t>In RAN2 #127bis the following was agreed</w:t>
      </w:r>
      <w:r w:rsidR="00AA30A6">
        <w:t>:</w:t>
      </w:r>
    </w:p>
    <w:tbl>
      <w:tblPr>
        <w:tblStyle w:val="TableGrid"/>
        <w:tblW w:w="0" w:type="auto"/>
        <w:tblLook w:val="04A0" w:firstRow="1" w:lastRow="0" w:firstColumn="1" w:lastColumn="0" w:noHBand="0" w:noVBand="1"/>
      </w:tblPr>
      <w:tblGrid>
        <w:gridCol w:w="9631"/>
      </w:tblGrid>
      <w:tr w:rsidR="007754BF" w14:paraId="2EF26D2A" w14:textId="77777777" w:rsidTr="007754BF">
        <w:tc>
          <w:tcPr>
            <w:tcW w:w="9631" w:type="dxa"/>
          </w:tcPr>
          <w:p w14:paraId="72D3F1BE" w14:textId="77777777" w:rsidR="007754BF" w:rsidRPr="007754BF" w:rsidRDefault="007754BF" w:rsidP="007754BF">
            <w:pPr>
              <w:rPr>
                <w:b/>
                <w:bCs/>
              </w:rPr>
            </w:pPr>
            <w:r w:rsidRPr="007754BF">
              <w:rPr>
                <w:b/>
                <w:bCs/>
              </w:rPr>
              <w:t>Agreements on paging adaptation</w:t>
            </w:r>
          </w:p>
          <w:p w14:paraId="47EDF19F" w14:textId="77777777" w:rsidR="007754BF" w:rsidRPr="00281AE8" w:rsidRDefault="007754BF" w:rsidP="00281AE8">
            <w:pPr>
              <w:pStyle w:val="ListParagraph"/>
              <w:numPr>
                <w:ilvl w:val="0"/>
                <w:numId w:val="49"/>
              </w:numPr>
            </w:pPr>
            <w:r w:rsidRPr="00281AE8">
              <w:t>Select option-b as baseline for R19 NES paging enhancement.</w:t>
            </w:r>
          </w:p>
          <w:p w14:paraId="0E5B344F" w14:textId="77777777" w:rsidR="007754BF" w:rsidRPr="00281AE8" w:rsidRDefault="007754BF" w:rsidP="00281AE8">
            <w:pPr>
              <w:pStyle w:val="ListParagraph"/>
              <w:numPr>
                <w:ilvl w:val="0"/>
                <w:numId w:val="49"/>
              </w:numPr>
            </w:pPr>
            <w:r w:rsidRPr="00281AE8">
              <w:t>R2 should aim at signaling overhead minimization (e.g., Ns=8 and FFS for other larger values)</w:t>
            </w:r>
          </w:p>
          <w:p w14:paraId="13A1B98B" w14:textId="77777777" w:rsidR="00281AE8" w:rsidRPr="00281AE8" w:rsidRDefault="007754BF" w:rsidP="00281AE8">
            <w:pPr>
              <w:pStyle w:val="ListParagraph"/>
              <w:numPr>
                <w:ilvl w:val="0"/>
                <w:numId w:val="49"/>
              </w:numPr>
            </w:pPr>
            <w:r w:rsidRPr="00281AE8">
              <w:t>Allowing legacy and R19 UEs to co-ex in the same PF/PO is possible, based on NW configuration.</w:t>
            </w:r>
          </w:p>
          <w:p w14:paraId="018482FA" w14:textId="7200614D" w:rsidR="007754BF" w:rsidRPr="00281AE8" w:rsidRDefault="007754BF" w:rsidP="00281AE8">
            <w:pPr>
              <w:pStyle w:val="ListParagraph"/>
              <w:numPr>
                <w:ilvl w:val="0"/>
                <w:numId w:val="49"/>
              </w:numPr>
            </w:pPr>
            <w:r w:rsidRPr="00281AE8">
              <w:t>Legacy UE is not barred.</w:t>
            </w:r>
          </w:p>
          <w:p w14:paraId="2A0F7B1A" w14:textId="0D097061" w:rsidR="007754BF" w:rsidRDefault="007754BF" w:rsidP="00281AE8">
            <w:pPr>
              <w:pStyle w:val="ListParagraph"/>
              <w:numPr>
                <w:ilvl w:val="0"/>
                <w:numId w:val="49"/>
              </w:numPr>
            </w:pPr>
            <w:r w:rsidRPr="00281AE8">
              <w:t>Rel-19 UEs only monitor the PO(s) according to Rel-19 paging configuration.</w:t>
            </w:r>
          </w:p>
        </w:tc>
      </w:tr>
    </w:tbl>
    <w:p w14:paraId="3B237EDC" w14:textId="0EEDA036" w:rsidR="00C96A46" w:rsidRDefault="00C96A46" w:rsidP="007754BF">
      <w:r>
        <w:t>In RAN2 #128 it was further agreed:</w:t>
      </w:r>
    </w:p>
    <w:tbl>
      <w:tblPr>
        <w:tblStyle w:val="TableGrid"/>
        <w:tblW w:w="0" w:type="auto"/>
        <w:tblLook w:val="04A0" w:firstRow="1" w:lastRow="0" w:firstColumn="1" w:lastColumn="0" w:noHBand="0" w:noVBand="1"/>
      </w:tblPr>
      <w:tblGrid>
        <w:gridCol w:w="9631"/>
      </w:tblGrid>
      <w:tr w:rsidR="00C96A46" w14:paraId="7F4E2953" w14:textId="77777777" w:rsidTr="00C96A46">
        <w:tc>
          <w:tcPr>
            <w:tcW w:w="9631" w:type="dxa"/>
          </w:tcPr>
          <w:p w14:paraId="0B621105" w14:textId="77777777" w:rsidR="00C96A46" w:rsidRPr="00C96A46" w:rsidRDefault="00C96A46" w:rsidP="00C96A46">
            <w:pPr>
              <w:rPr>
                <w:b/>
                <w:bCs/>
              </w:rPr>
            </w:pPr>
            <w:r w:rsidRPr="00C96A46">
              <w:rPr>
                <w:b/>
                <w:bCs/>
              </w:rPr>
              <w:t>Agreements on paging adaptation</w:t>
            </w:r>
          </w:p>
          <w:p w14:paraId="4C339906" w14:textId="77777777" w:rsidR="00C96A46" w:rsidRPr="00C96A46" w:rsidRDefault="00C96A46" w:rsidP="00C96A46">
            <w:pPr>
              <w:numPr>
                <w:ilvl w:val="0"/>
                <w:numId w:val="50"/>
              </w:numPr>
            </w:pPr>
            <w:r w:rsidRPr="00C96A46">
              <w:t>Introduce value for Ns=8. FFS on 16.</w:t>
            </w:r>
          </w:p>
          <w:p w14:paraId="1D23BE74" w14:textId="740238AA" w:rsidR="00C96A46" w:rsidRDefault="00C96A46" w:rsidP="00271906">
            <w:pPr>
              <w:numPr>
                <w:ilvl w:val="0"/>
                <w:numId w:val="50"/>
              </w:numPr>
            </w:pPr>
            <w:r w:rsidRPr="00C96A46">
              <w:t>Introduce value for N= T/32. FFS on T/64, T/128, T/256.</w:t>
            </w:r>
          </w:p>
        </w:tc>
      </w:tr>
    </w:tbl>
    <w:p w14:paraId="133A53C6" w14:textId="6B1B2800" w:rsidR="00C96A46" w:rsidRDefault="00601D37" w:rsidP="007754BF">
      <w:r>
        <w:t xml:space="preserve">As previously discussed </w:t>
      </w:r>
      <w:r w:rsidR="00777872">
        <w:t xml:space="preserve">by RAN2 the PF &amp; PO calculations in TS 38.304 also apply to the new Ns and N values. </w:t>
      </w:r>
      <w:r w:rsidR="00B3222D">
        <w:t xml:space="preserve">However, the </w:t>
      </w:r>
      <w:r w:rsidR="00D72DBF">
        <w:t xml:space="preserve">new Ns and N values will also impact the </w:t>
      </w:r>
      <w:r w:rsidR="00327BCB">
        <w:t xml:space="preserve">paging configuration </w:t>
      </w:r>
      <w:r w:rsidR="00C97863">
        <w:t>in TS 38.331</w:t>
      </w:r>
      <w:r w:rsidR="008D60B2">
        <w:t xml:space="preserve"> (in PCCH-Config). </w:t>
      </w:r>
      <w:r w:rsidR="00204B8E">
        <w:t xml:space="preserve">The </w:t>
      </w:r>
      <w:r w:rsidR="00204B8E" w:rsidRPr="00204B8E">
        <w:t>firstPDCCH-MonitoringOccasionOfPO</w:t>
      </w:r>
      <w:r w:rsidR="00204B8E">
        <w:t xml:space="preserve"> information element </w:t>
      </w:r>
      <w:r w:rsidR="00A36566">
        <w:t xml:space="preserve">may be provided per PO to define the first PDCCH monitoring occasion. </w:t>
      </w:r>
      <w:r w:rsidR="00360A14">
        <w:t xml:space="preserve">With Ns = 8 the number of </w:t>
      </w:r>
      <w:r w:rsidR="00360A14" w:rsidRPr="00360A14">
        <w:t>firstPDCCH-MonitoringOccasionOfPO</w:t>
      </w:r>
      <w:r w:rsidR="00360A14">
        <w:t xml:space="preserve"> information elements will double compared to Ns = 4. </w:t>
      </w:r>
      <w:r w:rsidR="004B0B5F">
        <w:t>The number of bits used per information element depends on the subcarrier space</w:t>
      </w:r>
      <w:r w:rsidR="00473DE5">
        <w:t xml:space="preserve"> used in the corresponding bandwidth part</w:t>
      </w:r>
      <w:r w:rsidR="000B24BC">
        <w:t xml:space="preserve"> and the N</w:t>
      </w:r>
      <w:r w:rsidR="00473DE5">
        <w:t xml:space="preserve">. For example, </w:t>
      </w:r>
      <w:r w:rsidR="000B24BC">
        <w:t>the combination of 15 kHz SCS and T</w:t>
      </w:r>
      <w:r w:rsidR="00657D29">
        <w:t>/1</w:t>
      </w:r>
      <w:r w:rsidR="00650868">
        <w:t xml:space="preserve"> results in a PDCCH monitoring range of 0-139 i.e. 8 bits are required. For </w:t>
      </w:r>
      <w:r w:rsidR="00987DFE">
        <w:t>the same SCS and T</w:t>
      </w:r>
      <w:r w:rsidR="00657D29">
        <w:t>/16</w:t>
      </w:r>
      <w:r w:rsidR="00987DFE">
        <w:t xml:space="preserve"> the range is 0-2239</w:t>
      </w:r>
      <w:r w:rsidR="00C52F67">
        <w:t xml:space="preserve">, which will require </w:t>
      </w:r>
      <w:r w:rsidR="001F60C1">
        <w:t xml:space="preserve">12 bits. </w:t>
      </w:r>
      <w:r w:rsidR="00657D29">
        <w:t>Since N is increased to</w:t>
      </w:r>
      <w:r w:rsidR="00204B8E">
        <w:t xml:space="preserve"> </w:t>
      </w:r>
      <w:r w:rsidR="00657D29">
        <w:t xml:space="preserve">T/32 </w:t>
      </w:r>
      <w:r w:rsidR="00E84C05">
        <w:t>an additional bit</w:t>
      </w:r>
      <w:r w:rsidR="00657D29">
        <w:t xml:space="preserve"> is required</w:t>
      </w:r>
      <w:r w:rsidR="00447AA4">
        <w:t xml:space="preserve">. In summary, the doubling of Ns and halving of N may require </w:t>
      </w:r>
      <w:r w:rsidR="003D7AEB">
        <w:t>more than double the number of</w:t>
      </w:r>
      <w:r w:rsidR="00594D90">
        <w:t xml:space="preserve"> bits to transmit the </w:t>
      </w:r>
      <w:r w:rsidR="00594D90" w:rsidRPr="00594D90">
        <w:t>firstPDCCH-MonitoringOccasionOfPO</w:t>
      </w:r>
      <w:r w:rsidR="00594D90">
        <w:t xml:space="preserve">. Such a significant increase in signaling overhead </w:t>
      </w:r>
      <w:r w:rsidR="003617F0">
        <w:t xml:space="preserve">needs to be addressed by RAN2 as already agreed </w:t>
      </w:r>
      <w:r w:rsidR="00BA5FB4">
        <w:t>in RAN2 #127bis</w:t>
      </w:r>
      <w:r w:rsidR="003617F0">
        <w:t>.</w:t>
      </w:r>
    </w:p>
    <w:p w14:paraId="0A9D0FE0" w14:textId="7414170C" w:rsidR="003617F0" w:rsidRDefault="00E87AC6" w:rsidP="007754BF">
      <w:pPr>
        <w:rPr>
          <w:b/>
          <w:bCs/>
        </w:rPr>
      </w:pPr>
      <w:r>
        <w:rPr>
          <w:b/>
          <w:bCs/>
        </w:rPr>
        <w:t>Observation</w:t>
      </w:r>
      <w:r w:rsidR="003077B4">
        <w:rPr>
          <w:b/>
          <w:bCs/>
        </w:rPr>
        <w:t xml:space="preserve"> </w:t>
      </w:r>
      <w:r w:rsidR="006B3783">
        <w:rPr>
          <w:b/>
          <w:bCs/>
        </w:rPr>
        <w:t>2</w:t>
      </w:r>
      <w:r>
        <w:rPr>
          <w:b/>
          <w:bCs/>
        </w:rPr>
        <w:t xml:space="preserve">: </w:t>
      </w:r>
      <w:r w:rsidRPr="00271906">
        <w:t xml:space="preserve">The </w:t>
      </w:r>
      <w:r w:rsidR="00071482" w:rsidRPr="00271906">
        <w:t xml:space="preserve">use of Ns=8 and N=T/32 will result in </w:t>
      </w:r>
      <w:r w:rsidR="00DA7593" w:rsidRPr="00271906">
        <w:t>more than double number of bits required for firstPDCCH-MonitoringOccasionOfPO as compared to the legacy</w:t>
      </w:r>
      <w:r w:rsidR="008217A7" w:rsidRPr="00271906">
        <w:t xml:space="preserve"> signaling.</w:t>
      </w:r>
    </w:p>
    <w:p w14:paraId="5A778DA9" w14:textId="61458E38" w:rsidR="00B763BB" w:rsidRDefault="001A60BC" w:rsidP="007754BF">
      <w:r>
        <w:t xml:space="preserve">The </w:t>
      </w:r>
      <w:r w:rsidR="003B4D04">
        <w:t xml:space="preserve">signaling of the </w:t>
      </w:r>
      <w:r w:rsidR="006E0196" w:rsidRPr="00594D90">
        <w:t>firstPDCCH-MonitoringOccasionOfPO</w:t>
      </w:r>
      <w:r w:rsidR="006E0196">
        <w:t xml:space="preserve"> concerning the first 4 POs (i.e. </w:t>
      </w:r>
      <w:r w:rsidR="003B4D04">
        <w:t xml:space="preserve">the maximum for legacy UEs) cannot be </w:t>
      </w:r>
      <w:r w:rsidR="00567D70">
        <w:t xml:space="preserve">optimized due to the requirement of backwards compatibility, but we </w:t>
      </w:r>
      <w:r w:rsidR="00334015">
        <w:t xml:space="preserve">think it is beneficial for RAN2 to further discuss </w:t>
      </w:r>
      <w:r w:rsidR="00726A95">
        <w:t xml:space="preserve">how to </w:t>
      </w:r>
      <w:r w:rsidR="00685CD4">
        <w:t xml:space="preserve">efficiently </w:t>
      </w:r>
      <w:r w:rsidR="00A851D6">
        <w:t>configure</w:t>
      </w:r>
      <w:r w:rsidR="00685CD4">
        <w:t xml:space="preserve"> the </w:t>
      </w:r>
      <w:r w:rsidR="00AF1E6D" w:rsidRPr="00594D90">
        <w:t>firstPDCCH-MonitoringOccasionOfPO</w:t>
      </w:r>
      <w:r w:rsidR="00AF1E6D">
        <w:t xml:space="preserve"> for the additional for POs of a PF. </w:t>
      </w:r>
    </w:p>
    <w:p w14:paraId="14E3FCA2" w14:textId="77777777" w:rsidR="008D41C0" w:rsidRPr="00D71578" w:rsidRDefault="008D41C0" w:rsidP="008D41C0">
      <w:r>
        <w:t xml:space="preserve">In our view, the current </w:t>
      </w:r>
      <w:r w:rsidRPr="00594D90">
        <w:t>firstPDCCH-MonitoringOccasionOfPO</w:t>
      </w:r>
      <w:r>
        <w:t xml:space="preserve"> provides a very high degree of flexibility to the network scheduler because the PDCCH MO can be indicated for any symbol in the paging frame. One approach to minimize the signaling overhead can therefore be to transmit the additional </w:t>
      </w:r>
      <w:r w:rsidRPr="00594D90">
        <w:t>firstPDCCH-MonitoringOccasionOfPO</w:t>
      </w:r>
      <w:r>
        <w:t xml:space="preserve"> with a reduced granularity. Another implication of the current ability to indicate any symbol in the paging frame is that a second PO’s PDDCH MO may be defined to occur before a first PO’s PDCCH MO. To reduce the signaling RAN2 could instead discuss to signal the second PO’s PDCCH MO to be relative to the first PO’s PDCCH MO.</w:t>
      </w:r>
    </w:p>
    <w:p w14:paraId="65750241" w14:textId="41C51CFF" w:rsidR="00AF1E6D" w:rsidRDefault="00AF1E6D" w:rsidP="007754BF">
      <w:r>
        <w:rPr>
          <w:b/>
          <w:bCs/>
        </w:rPr>
        <w:t>Proposal</w:t>
      </w:r>
      <w:r w:rsidR="00935F51">
        <w:rPr>
          <w:b/>
          <w:bCs/>
        </w:rPr>
        <w:t xml:space="preserve"> 1</w:t>
      </w:r>
      <w:r w:rsidR="00E912DF">
        <w:rPr>
          <w:b/>
          <w:bCs/>
        </w:rPr>
        <w:t>2</w:t>
      </w:r>
      <w:r>
        <w:rPr>
          <w:b/>
          <w:bCs/>
        </w:rPr>
        <w:t xml:space="preserve">: </w:t>
      </w:r>
      <w:r w:rsidRPr="00271906">
        <w:t xml:space="preserve">RAN2 to discuss how to </w:t>
      </w:r>
      <w:r w:rsidR="004C3F4D" w:rsidRPr="00271906">
        <w:t xml:space="preserve">efficiently </w:t>
      </w:r>
      <w:r w:rsidR="0069246C" w:rsidRPr="00271906">
        <w:t>transmit firstPDCCH-MonitoringOccasionOfPO for the 4 additional POs of a PF.</w:t>
      </w:r>
    </w:p>
    <w:p w14:paraId="13A72A06" w14:textId="48373F00" w:rsidR="0082181C" w:rsidRDefault="0082181C" w:rsidP="007754BF">
      <w:r>
        <w:t xml:space="preserve">In release 17, 3GPP specified the Paging Early Indication (PEI). The PEI is provided via DCI format </w:t>
      </w:r>
      <w:r w:rsidR="001B481A">
        <w:t xml:space="preserve">2_7 and consists of a paging indication field, which is the product of the number of POs indicated by the PEI and the number of subgroups per PO, and a TRS availability indication bitmap. </w:t>
      </w:r>
      <w:r w:rsidR="00644522">
        <w:t>Currently, the number of POs per PEI is in the range [1, 2, 4, 8]</w:t>
      </w:r>
      <w:r w:rsidR="00CB7559">
        <w:t xml:space="preserve"> and since the legacy number of POs per PF is 4, the configuration of </w:t>
      </w:r>
      <w:r w:rsidR="00EC5BD7">
        <w:t xml:space="preserve">8 POs per PEI implies two PFs are addressed by the PEI. This seems unlikely in the low paging load scenario currently targeted for paging enhancements by RAN2, because the PF interval would be long, which </w:t>
      </w:r>
      <w:r w:rsidR="004B4AD3">
        <w:t>would then result in a very long time-distance between the PEI and the second PF. T</w:t>
      </w:r>
      <w:r w:rsidR="00EC5BD7">
        <w:t>herefore</w:t>
      </w:r>
      <w:r w:rsidR="004B4AD3">
        <w:t>,</w:t>
      </w:r>
      <w:r w:rsidR="00EC5BD7">
        <w:t xml:space="preserve"> we expect the number of P</w:t>
      </w:r>
      <w:r w:rsidR="009C6CE3">
        <w:t>O</w:t>
      </w:r>
      <w:r w:rsidR="00EC5BD7">
        <w:t xml:space="preserve">s per PEI to be configured as maximum 4. </w:t>
      </w:r>
    </w:p>
    <w:p w14:paraId="5492F81E" w14:textId="6A53B06E" w:rsidR="009C6CE3" w:rsidRDefault="00C43636" w:rsidP="007754BF">
      <w:pPr>
        <w:rPr>
          <w:iCs/>
        </w:rPr>
      </w:pPr>
      <w:r w:rsidRPr="00271906">
        <w:t>The c</w:t>
      </w:r>
      <w:r>
        <w:t xml:space="preserve">urrent TS 38.213 paging occasion index function </w:t>
      </w:r>
      <m:oMath>
        <m:sSub>
          <m:sSubPr>
            <m:ctrlPr>
              <w:rPr>
                <w:rFonts w:ascii="Cambria Math" w:hAnsi="Cambria Math" w:cstheme="minorHAnsi"/>
                <w:i/>
                <w:iCs/>
              </w:rPr>
            </m:ctrlPr>
          </m:sSubPr>
          <m:e>
            <m:r>
              <w:rPr>
                <w:rFonts w:ascii="Cambria Math" w:hAnsi="Cambria Math" w:cstheme="minorHAnsi"/>
              </w:rPr>
              <m:t>i</m:t>
            </m:r>
          </m:e>
          <m:sub>
            <m:r>
              <w:rPr>
                <w:rFonts w:ascii="Cambria Math" w:hAnsi="Cambria Math" w:cstheme="minorHAnsi"/>
              </w:rPr>
              <m:t>PO</m:t>
            </m:r>
          </m:sub>
        </m:sSub>
        <m:r>
          <w:rPr>
            <w:rFonts w:ascii="Cambria Math" w:hAnsi="Cambria Math" w:cstheme="minorHAnsi"/>
          </w:rPr>
          <m:t>=</m:t>
        </m:r>
        <m:d>
          <m:dPr>
            <m:ctrlPr>
              <w:rPr>
                <w:rFonts w:ascii="Cambria Math" w:hAnsi="Cambria Math" w:cstheme="minorHAnsi"/>
                <w:i/>
                <w:iCs/>
              </w:rPr>
            </m:ctrlPr>
          </m:dPr>
          <m:e>
            <m:d>
              <m:dPr>
                <m:ctrlPr>
                  <w:rPr>
                    <w:rFonts w:ascii="Cambria Math" w:hAnsi="Cambria Math" w:cstheme="minorHAnsi"/>
                    <w:i/>
                    <w:iCs/>
                  </w:rPr>
                </m:ctrlPr>
              </m:dPr>
              <m:e>
                <m:r>
                  <m:rPr>
                    <m:sty m:val="p"/>
                  </m:rPr>
                  <w:rPr>
                    <w:rFonts w:ascii="Cambria Math" w:hAnsi="Cambria Math" w:cstheme="minorHAnsi"/>
                  </w:rPr>
                  <m:t>UE_IDmod</m:t>
                </m:r>
                <m:r>
                  <w:rPr>
                    <w:rFonts w:ascii="Cambria Math" w:hAnsi="Cambria Math" w:cstheme="minorHAnsi"/>
                  </w:rPr>
                  <m:t>N</m:t>
                </m:r>
              </m:e>
            </m:d>
            <m:r>
              <w:rPr>
                <w:rFonts w:ascii="Cambria Math" w:hAnsi="Cambria Math" w:cstheme="minorHAnsi"/>
                <w:lang w:val="en-AU"/>
              </w:rPr>
              <m:t>⋅</m:t>
            </m:r>
            <m:sSub>
              <m:sSubPr>
                <m:ctrlPr>
                  <w:rPr>
                    <w:rFonts w:ascii="Cambria Math" w:hAnsi="Cambria Math" w:cstheme="minorHAnsi"/>
                    <w:i/>
                    <w:iCs/>
                  </w:rPr>
                </m:ctrlPr>
              </m:sSubPr>
              <m:e>
                <m:r>
                  <w:rPr>
                    <w:rFonts w:ascii="Cambria Math" w:hAnsi="Cambria Math" w:cstheme="minorHAnsi"/>
                  </w:rPr>
                  <m:t>N</m:t>
                </m:r>
              </m:e>
              <m:sub>
                <m:r>
                  <w:rPr>
                    <w:rFonts w:ascii="Cambria Math" w:hAnsi="Cambria Math" w:cstheme="minorHAnsi"/>
                  </w:rPr>
                  <m:t>S</m:t>
                </m:r>
              </m:sub>
            </m:sSub>
            <m:r>
              <w:rPr>
                <w:rFonts w:ascii="Cambria Math" w:hAnsi="Cambria Math" w:cstheme="minorHAnsi"/>
              </w:rPr>
              <m:t>+i_s</m:t>
            </m:r>
          </m:e>
        </m:d>
        <m:r>
          <w:rPr>
            <w:rFonts w:ascii="Cambria Math" w:hAnsi="Cambria Math" w:cstheme="minorHAnsi"/>
          </w:rPr>
          <m:t>mod</m:t>
        </m:r>
        <m:sSubSup>
          <m:sSubSupPr>
            <m:ctrlPr>
              <w:rPr>
                <w:rFonts w:ascii="Cambria Math" w:hAnsi="Cambria Math" w:cstheme="minorHAnsi"/>
                <w:i/>
                <w:iCs/>
              </w:rPr>
            </m:ctrlPr>
          </m:sSubSupPr>
          <m:e>
            <m:r>
              <w:rPr>
                <w:rFonts w:ascii="Cambria Math" w:hAnsi="Cambria Math" w:cstheme="minorHAnsi"/>
              </w:rPr>
              <m:t>N</m:t>
            </m:r>
          </m:e>
          <m:sub>
            <m:r>
              <m:rPr>
                <m:sty m:val="p"/>
              </m:rPr>
              <w:rPr>
                <w:rFonts w:ascii="Cambria Math" w:hAnsi="Cambria Math" w:cstheme="minorHAnsi"/>
              </w:rPr>
              <m:t>PO</m:t>
            </m:r>
          </m:sub>
          <m:sup>
            <m:r>
              <m:rPr>
                <m:sty m:val="p"/>
              </m:rPr>
              <w:rPr>
                <w:rFonts w:ascii="Cambria Math" w:hAnsi="Cambria Math" w:cstheme="minorHAnsi"/>
              </w:rPr>
              <m:t>PEI</m:t>
            </m:r>
          </m:sup>
        </m:sSubSup>
      </m:oMath>
      <w:r>
        <w:rPr>
          <w:iCs/>
        </w:rPr>
        <w:t xml:space="preserve"> is </w:t>
      </w:r>
      <w:r w:rsidR="006013DF">
        <w:rPr>
          <w:iCs/>
        </w:rPr>
        <w:t xml:space="preserve">applicable to this scenario as well, because the additional POs (if Ns = 8 for release 19 UEs) </w:t>
      </w:r>
      <w:r w:rsidR="002F4F3A">
        <w:rPr>
          <w:iCs/>
        </w:rPr>
        <w:t>will</w:t>
      </w:r>
      <w:r w:rsidR="006013DF">
        <w:rPr>
          <w:iCs/>
        </w:rPr>
        <w:t xml:space="preserve"> map into the </w:t>
      </w:r>
      <w:r w:rsidR="002F4F3A">
        <w:rPr>
          <w:iCs/>
        </w:rPr>
        <w:t xml:space="preserve">same bits as used by the legacy UEs. </w:t>
      </w:r>
      <w:r w:rsidR="00AE0C6A">
        <w:rPr>
          <w:iCs/>
        </w:rPr>
        <w:t>The issue is that it will increase the false alarm rate, when both legacy and release 19 UEs monitor the same bit in the PEI. Furthermore, if the number of POs per PEI is 4 there may be spare bits in the DCI format 2_7, because it has a maximum size of 43 bits including up to 6 bits for the TRS availability indication.</w:t>
      </w:r>
      <w:r w:rsidR="00CA6390">
        <w:rPr>
          <w:iCs/>
        </w:rPr>
        <w:t xml:space="preserve"> Assuming 4 subgroups per PO</w:t>
      </w:r>
      <w:r w:rsidR="004700AD">
        <w:rPr>
          <w:iCs/>
        </w:rPr>
        <w:t xml:space="preserve">, up to 4*4+6=22 bits will be used. </w:t>
      </w:r>
    </w:p>
    <w:p w14:paraId="0656544D" w14:textId="41F6435F" w:rsidR="00CA6390" w:rsidRDefault="003077B4" w:rsidP="007754BF">
      <w:pPr>
        <w:rPr>
          <w:iCs/>
        </w:rPr>
      </w:pPr>
      <w:r>
        <w:rPr>
          <w:b/>
          <w:bCs/>
          <w:iCs/>
        </w:rPr>
        <w:t xml:space="preserve">Observation </w:t>
      </w:r>
      <w:r w:rsidR="00E912DF">
        <w:rPr>
          <w:b/>
          <w:bCs/>
          <w:iCs/>
        </w:rPr>
        <w:t>3</w:t>
      </w:r>
      <w:r>
        <w:rPr>
          <w:b/>
          <w:bCs/>
          <w:iCs/>
        </w:rPr>
        <w:t xml:space="preserve">: </w:t>
      </w:r>
      <w:r>
        <w:rPr>
          <w:iCs/>
        </w:rPr>
        <w:t xml:space="preserve">There may be </w:t>
      </w:r>
      <w:r w:rsidR="00F213B0">
        <w:rPr>
          <w:iCs/>
        </w:rPr>
        <w:t xml:space="preserve">more than 20 </w:t>
      </w:r>
      <w:r>
        <w:rPr>
          <w:iCs/>
        </w:rPr>
        <w:t xml:space="preserve">spare bits in the PEI DCI format 2_7, when the number of POs per PEI is </w:t>
      </w:r>
      <w:r w:rsidR="00CA6390">
        <w:rPr>
          <w:iCs/>
        </w:rPr>
        <w:t>4 (for legacy UEs).</w:t>
      </w:r>
    </w:p>
    <w:p w14:paraId="793650E9" w14:textId="083DB772" w:rsidR="00042BD6" w:rsidRDefault="000D4009" w:rsidP="007754BF">
      <w:pPr>
        <w:rPr>
          <w:iCs/>
        </w:rPr>
      </w:pPr>
      <w:r>
        <w:rPr>
          <w:iCs/>
        </w:rPr>
        <w:t xml:space="preserve">The exact </w:t>
      </w:r>
      <w:r w:rsidR="00807F74">
        <w:rPr>
          <w:iCs/>
        </w:rPr>
        <w:t xml:space="preserve">bit </w:t>
      </w:r>
      <w:r>
        <w:rPr>
          <w:iCs/>
        </w:rPr>
        <w:t>co</w:t>
      </w:r>
      <w:r w:rsidR="00AC7590">
        <w:rPr>
          <w:iCs/>
        </w:rPr>
        <w:t xml:space="preserve">nfiguration </w:t>
      </w:r>
      <w:r w:rsidR="00C32BFD">
        <w:rPr>
          <w:iCs/>
        </w:rPr>
        <w:t xml:space="preserve">is up to RAN1 (being part of TS 38.213), but </w:t>
      </w:r>
      <w:r w:rsidR="00664B6C">
        <w:rPr>
          <w:iCs/>
        </w:rPr>
        <w:t>first RAN2 needs to discuss whether the legacy and release 19 UEs can be addressed by the same PEI. In our view, this is beneficial due to the availability of the spare bits and the potential network energy saving of sending a single PEI instead of two PEIs (one for legacy UEs, one for release 19 UEs).</w:t>
      </w:r>
    </w:p>
    <w:p w14:paraId="2BC1D48B" w14:textId="1F835A19" w:rsidR="005F0F16" w:rsidRPr="00271906" w:rsidRDefault="005F0F16" w:rsidP="007754BF">
      <w:r>
        <w:rPr>
          <w:rFonts w:eastAsiaTheme="minorEastAsia"/>
          <w:b/>
          <w:bCs/>
          <w:iCs/>
        </w:rPr>
        <w:t>Proposal 1</w:t>
      </w:r>
      <w:r w:rsidR="00E912DF">
        <w:rPr>
          <w:rFonts w:eastAsiaTheme="minorEastAsia"/>
          <w:b/>
          <w:bCs/>
          <w:iCs/>
        </w:rPr>
        <w:t>3</w:t>
      </w:r>
      <w:r>
        <w:rPr>
          <w:rFonts w:eastAsiaTheme="minorEastAsia"/>
          <w:b/>
          <w:bCs/>
          <w:iCs/>
        </w:rPr>
        <w:t xml:space="preserve">: </w:t>
      </w:r>
      <w:r>
        <w:rPr>
          <w:rFonts w:eastAsiaTheme="minorEastAsia"/>
          <w:iCs/>
        </w:rPr>
        <w:t xml:space="preserve">RAN2 to discuss the </w:t>
      </w:r>
      <w:r w:rsidR="00A20DFA">
        <w:rPr>
          <w:rFonts w:eastAsiaTheme="minorEastAsia"/>
          <w:iCs/>
        </w:rPr>
        <w:t xml:space="preserve">use of a single </w:t>
      </w:r>
      <w:r>
        <w:rPr>
          <w:rFonts w:eastAsiaTheme="minorEastAsia"/>
          <w:iCs/>
        </w:rPr>
        <w:t xml:space="preserve">PEI </w:t>
      </w:r>
      <w:r w:rsidR="00A20DFA">
        <w:rPr>
          <w:rFonts w:eastAsiaTheme="minorEastAsia"/>
          <w:iCs/>
        </w:rPr>
        <w:t>to address both legacy and</w:t>
      </w:r>
      <w:r>
        <w:rPr>
          <w:rFonts w:eastAsiaTheme="minorEastAsia"/>
          <w:iCs/>
        </w:rPr>
        <w:t xml:space="preserve"> release 19 </w:t>
      </w:r>
      <w:r w:rsidR="00A20DFA">
        <w:rPr>
          <w:rFonts w:eastAsiaTheme="minorEastAsia"/>
          <w:iCs/>
        </w:rPr>
        <w:t>UEs</w:t>
      </w:r>
      <w:r>
        <w:rPr>
          <w:rFonts w:eastAsiaTheme="minorEastAsia"/>
          <w:iCs/>
        </w:rPr>
        <w:t>.</w:t>
      </w:r>
    </w:p>
    <w:p w14:paraId="69B7B8E6" w14:textId="1AF6FD37" w:rsidR="009339CB" w:rsidRDefault="009339CB" w:rsidP="00043586">
      <w:pPr>
        <w:pStyle w:val="Heading1"/>
        <w:numPr>
          <w:ilvl w:val="0"/>
          <w:numId w:val="27"/>
        </w:numPr>
        <w:rPr>
          <w:lang w:val="en-US"/>
        </w:rPr>
      </w:pPr>
      <w:r w:rsidRPr="00C461E2">
        <w:rPr>
          <w:lang w:val="en-US"/>
        </w:rPr>
        <w:t>Conclusion</w:t>
      </w:r>
    </w:p>
    <w:p w14:paraId="76586D67" w14:textId="77777777" w:rsidR="009231C4" w:rsidRDefault="009231C4" w:rsidP="009231C4">
      <w:pPr>
        <w:tabs>
          <w:tab w:val="left" w:pos="284"/>
        </w:tabs>
        <w:jc w:val="both"/>
        <w:rPr>
          <w:b/>
          <w:bCs/>
          <w:sz w:val="22"/>
          <w:szCs w:val="22"/>
        </w:rPr>
      </w:pPr>
      <w:r w:rsidRPr="008649BA">
        <w:rPr>
          <w:rFonts w:cs="Arial"/>
          <w:b/>
          <w:bCs/>
          <w:sz w:val="22"/>
          <w:szCs w:val="28"/>
          <w:lang w:eastAsia="ko-KR"/>
        </w:rPr>
        <w:t>Observation</w:t>
      </w:r>
      <w:r>
        <w:rPr>
          <w:rFonts w:cs="Arial"/>
          <w:b/>
          <w:bCs/>
          <w:sz w:val="22"/>
          <w:szCs w:val="28"/>
          <w:lang w:eastAsia="ko-KR"/>
        </w:rPr>
        <w:t xml:space="preserve"> 1</w:t>
      </w:r>
      <w:r w:rsidRPr="000014CD">
        <w:rPr>
          <w:b/>
          <w:bCs/>
          <w:sz w:val="22"/>
          <w:szCs w:val="22"/>
        </w:rPr>
        <w:t xml:space="preserve">: </w:t>
      </w:r>
      <w:r w:rsidRPr="002801B7">
        <w:rPr>
          <w:sz w:val="22"/>
          <w:szCs w:val="22"/>
        </w:rPr>
        <w:t>When always-ON SSB and OD-SSB are in the same frequency, we can consider it as adaptation of always-ON SSBs in time domain</w:t>
      </w:r>
      <w:r>
        <w:rPr>
          <w:b/>
          <w:bCs/>
          <w:sz w:val="22"/>
          <w:szCs w:val="22"/>
        </w:rPr>
        <w:t>.</w:t>
      </w:r>
    </w:p>
    <w:p w14:paraId="396A083F" w14:textId="77777777" w:rsidR="009231C4" w:rsidRPr="003F74A3" w:rsidRDefault="009231C4" w:rsidP="009231C4">
      <w:pPr>
        <w:tabs>
          <w:tab w:val="left" w:pos="284"/>
        </w:tabs>
        <w:jc w:val="both"/>
        <w:rPr>
          <w:sz w:val="22"/>
          <w:szCs w:val="22"/>
        </w:rPr>
      </w:pPr>
      <w:r>
        <w:rPr>
          <w:b/>
          <w:bCs/>
          <w:sz w:val="22"/>
          <w:szCs w:val="22"/>
        </w:rPr>
        <w:t xml:space="preserve">Proposal 1: </w:t>
      </w:r>
      <w:r>
        <w:rPr>
          <w:sz w:val="22"/>
          <w:szCs w:val="22"/>
        </w:rPr>
        <w:t>When designing on-demand SSB and SSB adaptation activation, MAC CE/RRC signaling should be done jointly in RAN2.</w:t>
      </w:r>
    </w:p>
    <w:p w14:paraId="33CB2E3B" w14:textId="77777777" w:rsidR="009231C4" w:rsidRDefault="009231C4" w:rsidP="009231C4">
      <w:pPr>
        <w:tabs>
          <w:tab w:val="left" w:pos="284"/>
        </w:tabs>
        <w:jc w:val="both"/>
        <w:rPr>
          <w:sz w:val="22"/>
          <w:szCs w:val="22"/>
        </w:rPr>
      </w:pPr>
      <w:r w:rsidRPr="00D8404B">
        <w:rPr>
          <w:b/>
          <w:bCs/>
          <w:sz w:val="22"/>
          <w:szCs w:val="22"/>
        </w:rPr>
        <w:t xml:space="preserve">Proposal </w:t>
      </w:r>
      <w:r>
        <w:rPr>
          <w:b/>
          <w:bCs/>
          <w:sz w:val="22"/>
          <w:szCs w:val="22"/>
        </w:rPr>
        <w:t>2</w:t>
      </w:r>
      <w:r w:rsidRPr="00D8404B">
        <w:rPr>
          <w:b/>
          <w:bCs/>
          <w:sz w:val="22"/>
          <w:szCs w:val="22"/>
        </w:rPr>
        <w:t xml:space="preserve">: </w:t>
      </w:r>
      <w:r w:rsidRPr="00D8404B">
        <w:rPr>
          <w:sz w:val="22"/>
          <w:szCs w:val="22"/>
        </w:rPr>
        <w:t>When designing on-demand SSB and SSB adaptation activation, SMTC configuration for the two features should be done jointly in RAN2</w:t>
      </w:r>
      <w:r>
        <w:rPr>
          <w:sz w:val="22"/>
          <w:szCs w:val="22"/>
        </w:rPr>
        <w:t>.</w:t>
      </w:r>
    </w:p>
    <w:p w14:paraId="14B96301" w14:textId="77777777" w:rsidR="009231C4" w:rsidRPr="00B74170" w:rsidRDefault="009231C4" w:rsidP="009231C4">
      <w:pPr>
        <w:jc w:val="both"/>
        <w:rPr>
          <w:b/>
          <w:bCs/>
          <w:sz w:val="22"/>
          <w:szCs w:val="22"/>
        </w:rPr>
      </w:pPr>
      <w:r w:rsidRPr="00B74170">
        <w:rPr>
          <w:b/>
          <w:bCs/>
          <w:sz w:val="22"/>
          <w:szCs w:val="22"/>
        </w:rPr>
        <w:t>Proposal</w:t>
      </w:r>
      <w:r>
        <w:rPr>
          <w:b/>
          <w:bCs/>
          <w:sz w:val="22"/>
          <w:szCs w:val="22"/>
        </w:rPr>
        <w:t xml:space="preserve"> 3</w:t>
      </w:r>
      <w:r w:rsidRPr="00B74170">
        <w:rPr>
          <w:b/>
          <w:bCs/>
          <w:sz w:val="22"/>
          <w:szCs w:val="22"/>
        </w:rPr>
        <w:t xml:space="preserve">: </w:t>
      </w:r>
      <w:r w:rsidRPr="00B9720E">
        <w:rPr>
          <w:sz w:val="22"/>
          <w:szCs w:val="22"/>
        </w:rPr>
        <w:t>Clarify whether further considerations are needed for the 2-step PRACH adaptation e.g., the resource used by the UE to transmit MsgA</w:t>
      </w:r>
      <w:r w:rsidRPr="00B74170">
        <w:rPr>
          <w:b/>
          <w:bCs/>
          <w:sz w:val="22"/>
          <w:szCs w:val="22"/>
        </w:rPr>
        <w:t xml:space="preserve">. </w:t>
      </w:r>
    </w:p>
    <w:p w14:paraId="2717E17A" w14:textId="77777777" w:rsidR="009231C4" w:rsidRDefault="009231C4" w:rsidP="009231C4">
      <w:pPr>
        <w:jc w:val="both"/>
        <w:rPr>
          <w:b/>
          <w:sz w:val="22"/>
          <w:szCs w:val="22"/>
        </w:rPr>
      </w:pPr>
      <w:r w:rsidRPr="00B74170">
        <w:rPr>
          <w:b/>
          <w:bCs/>
          <w:sz w:val="22"/>
          <w:szCs w:val="22"/>
        </w:rPr>
        <w:t>Proposal</w:t>
      </w:r>
      <w:r>
        <w:rPr>
          <w:b/>
          <w:bCs/>
          <w:sz w:val="22"/>
          <w:szCs w:val="22"/>
        </w:rPr>
        <w:t xml:space="preserve"> 4</w:t>
      </w:r>
      <w:r w:rsidRPr="00B74170">
        <w:rPr>
          <w:b/>
          <w:bCs/>
          <w:sz w:val="22"/>
          <w:szCs w:val="22"/>
        </w:rPr>
        <w:t>:</w:t>
      </w:r>
      <w:r w:rsidRPr="00B74170">
        <w:rPr>
          <w:b/>
          <w:sz w:val="22"/>
          <w:szCs w:val="22"/>
        </w:rPr>
        <w:t xml:space="preserve"> </w:t>
      </w:r>
      <w:r w:rsidRPr="00B9720E">
        <w:rPr>
          <w:sz w:val="22"/>
          <w:szCs w:val="22"/>
        </w:rPr>
        <w:t>PRACH adaptation solution(s) are at least applied to CBRA. PRACH adaptation applied to CFRA shall also be investigated, if time allows, however no CFRA-specific PRACH adaptation solutions should be considered</w:t>
      </w:r>
      <w:r>
        <w:rPr>
          <w:b/>
          <w:sz w:val="22"/>
          <w:szCs w:val="22"/>
        </w:rPr>
        <w:t>.</w:t>
      </w:r>
    </w:p>
    <w:p w14:paraId="5A31BD11" w14:textId="77777777" w:rsidR="009231C4" w:rsidRPr="00B9720E" w:rsidRDefault="009231C4" w:rsidP="009231C4">
      <w:pPr>
        <w:jc w:val="both"/>
        <w:rPr>
          <w:sz w:val="22"/>
          <w:szCs w:val="22"/>
        </w:rPr>
      </w:pPr>
      <w:r w:rsidRPr="00900738">
        <w:rPr>
          <w:b/>
          <w:sz w:val="22"/>
          <w:szCs w:val="22"/>
        </w:rPr>
        <w:t>Proposal</w:t>
      </w:r>
      <w:r>
        <w:rPr>
          <w:b/>
          <w:sz w:val="22"/>
          <w:szCs w:val="22"/>
        </w:rPr>
        <w:t xml:space="preserve"> 5</w:t>
      </w:r>
      <w:r w:rsidRPr="00900738">
        <w:rPr>
          <w:b/>
          <w:sz w:val="22"/>
          <w:szCs w:val="22"/>
        </w:rPr>
        <w:t xml:space="preserve">: </w:t>
      </w:r>
      <w:r w:rsidRPr="00B9720E">
        <w:rPr>
          <w:sz w:val="22"/>
          <w:szCs w:val="22"/>
        </w:rPr>
        <w:t>PRACH adaptation should be applicable to cells that support both legacy and Rel-19 UEs.</w:t>
      </w:r>
    </w:p>
    <w:p w14:paraId="412F1469" w14:textId="77777777" w:rsidR="009231C4" w:rsidRPr="00B9720E" w:rsidRDefault="009231C4" w:rsidP="009231C4">
      <w:pPr>
        <w:spacing w:after="0"/>
        <w:jc w:val="both"/>
        <w:rPr>
          <w:bCs/>
          <w:color w:val="000000" w:themeColor="text1"/>
          <w:sz w:val="22"/>
          <w:szCs w:val="22"/>
        </w:rPr>
      </w:pPr>
      <w:r w:rsidRPr="009D24A1">
        <w:rPr>
          <w:b/>
          <w:color w:val="000000" w:themeColor="text1"/>
          <w:sz w:val="22"/>
          <w:szCs w:val="22"/>
        </w:rPr>
        <w:t>Proposal</w:t>
      </w:r>
      <w:r>
        <w:rPr>
          <w:b/>
          <w:color w:val="000000" w:themeColor="text1"/>
          <w:sz w:val="22"/>
          <w:szCs w:val="22"/>
        </w:rPr>
        <w:t xml:space="preserve"> 6</w:t>
      </w:r>
      <w:r w:rsidRPr="009D24A1">
        <w:rPr>
          <w:b/>
          <w:color w:val="000000" w:themeColor="text1"/>
          <w:sz w:val="22"/>
          <w:szCs w:val="22"/>
        </w:rPr>
        <w:t xml:space="preserve">: </w:t>
      </w:r>
      <w:r w:rsidRPr="00B9720E">
        <w:rPr>
          <w:bCs/>
          <w:color w:val="000000" w:themeColor="text1"/>
          <w:sz w:val="22"/>
          <w:szCs w:val="22"/>
        </w:rPr>
        <w:t>RAN2 to wait for RAN1 to conclude on</w:t>
      </w:r>
      <w:r>
        <w:rPr>
          <w:bCs/>
          <w:color w:val="000000" w:themeColor="text1"/>
          <w:sz w:val="22"/>
          <w:szCs w:val="22"/>
        </w:rPr>
        <w:t xml:space="preserve"> PRACH adaptation mechanisms before discussing RAN2 i</w:t>
      </w:r>
      <w:r w:rsidRPr="00B9720E">
        <w:rPr>
          <w:bCs/>
          <w:color w:val="000000" w:themeColor="text1"/>
          <w:sz w:val="22"/>
          <w:szCs w:val="22"/>
        </w:rPr>
        <w:t>mplications.</w:t>
      </w:r>
    </w:p>
    <w:p w14:paraId="462ED4D0" w14:textId="77777777" w:rsidR="009231C4" w:rsidRDefault="009231C4" w:rsidP="009231C4">
      <w:pPr>
        <w:jc w:val="both"/>
        <w:rPr>
          <w:b/>
          <w:sz w:val="22"/>
          <w:szCs w:val="22"/>
        </w:rPr>
      </w:pPr>
      <w:r w:rsidRPr="00B74170">
        <w:rPr>
          <w:b/>
          <w:bCs/>
          <w:sz w:val="22"/>
          <w:szCs w:val="22"/>
        </w:rPr>
        <w:t>Proposal</w:t>
      </w:r>
      <w:r>
        <w:rPr>
          <w:b/>
          <w:bCs/>
          <w:sz w:val="22"/>
          <w:szCs w:val="22"/>
        </w:rPr>
        <w:t xml:space="preserve"> 7</w:t>
      </w:r>
      <w:r w:rsidRPr="00B74170">
        <w:rPr>
          <w:b/>
          <w:bCs/>
          <w:sz w:val="22"/>
          <w:szCs w:val="22"/>
        </w:rPr>
        <w:t>:</w:t>
      </w:r>
      <w:r w:rsidRPr="00B74170">
        <w:rPr>
          <w:b/>
          <w:sz w:val="22"/>
          <w:szCs w:val="22"/>
        </w:rPr>
        <w:t xml:space="preserve"> </w:t>
      </w:r>
      <w:r w:rsidRPr="00B9720E">
        <w:rPr>
          <w:sz w:val="22"/>
          <w:szCs w:val="22"/>
        </w:rPr>
        <w:t xml:space="preserve">Study whether further </w:t>
      </w:r>
      <w:r>
        <w:rPr>
          <w:sz w:val="22"/>
          <w:szCs w:val="22"/>
        </w:rPr>
        <w:t xml:space="preserve">enhancements are </w:t>
      </w:r>
      <w:r w:rsidRPr="00B9720E">
        <w:rPr>
          <w:sz w:val="22"/>
          <w:szCs w:val="22"/>
        </w:rPr>
        <w:t xml:space="preserve">needed for the </w:t>
      </w:r>
      <w:r>
        <w:rPr>
          <w:sz w:val="22"/>
          <w:szCs w:val="22"/>
        </w:rPr>
        <w:t>conditional handover procedure when the additional PRACH resources are activated at one or more candidate target cells</w:t>
      </w:r>
      <w:r>
        <w:rPr>
          <w:b/>
          <w:sz w:val="22"/>
          <w:szCs w:val="22"/>
        </w:rPr>
        <w:t>.</w:t>
      </w:r>
    </w:p>
    <w:p w14:paraId="0DA71325" w14:textId="77777777" w:rsidR="009231C4" w:rsidRDefault="009231C4" w:rsidP="009231C4">
      <w:pPr>
        <w:jc w:val="both"/>
        <w:rPr>
          <w:b/>
          <w:sz w:val="22"/>
          <w:szCs w:val="22"/>
        </w:rPr>
      </w:pPr>
      <w:r>
        <w:rPr>
          <w:b/>
          <w:sz w:val="22"/>
          <w:szCs w:val="22"/>
        </w:rPr>
        <w:t xml:space="preserve">Proposal 8: </w:t>
      </w:r>
      <w:r w:rsidRPr="000E4145">
        <w:rPr>
          <w:bCs/>
          <w:sz w:val="22"/>
          <w:szCs w:val="22"/>
        </w:rPr>
        <w:t xml:space="preserve">RAN2 to </w:t>
      </w:r>
      <w:r>
        <w:rPr>
          <w:bCs/>
          <w:sz w:val="22"/>
          <w:szCs w:val="22"/>
        </w:rPr>
        <w:t>consider</w:t>
      </w:r>
      <w:r w:rsidRPr="000E4145">
        <w:rPr>
          <w:bCs/>
          <w:sz w:val="22"/>
          <w:szCs w:val="22"/>
        </w:rPr>
        <w:t xml:space="preserve"> how to enable usage of additional PRACH resources for beam failure recovery procedure.</w:t>
      </w:r>
    </w:p>
    <w:p w14:paraId="5D963547" w14:textId="77777777" w:rsidR="009231C4" w:rsidRDefault="009231C4" w:rsidP="009231C4">
      <w:pPr>
        <w:jc w:val="both"/>
        <w:rPr>
          <w:rFonts w:eastAsia="Times New Roman"/>
          <w:b/>
          <w:bCs/>
          <w:sz w:val="22"/>
          <w:szCs w:val="22"/>
          <w:lang w:val="en-GB"/>
        </w:rPr>
      </w:pPr>
      <w:r w:rsidRPr="301233F9">
        <w:rPr>
          <w:rFonts w:eastAsia="Times New Roman"/>
          <w:b/>
          <w:bCs/>
          <w:sz w:val="22"/>
          <w:szCs w:val="22"/>
          <w:lang w:val="en-GB"/>
        </w:rPr>
        <w:t>Proposal</w:t>
      </w:r>
      <w:r>
        <w:rPr>
          <w:rFonts w:eastAsia="Times New Roman"/>
          <w:b/>
          <w:bCs/>
          <w:sz w:val="22"/>
          <w:szCs w:val="22"/>
          <w:lang w:val="en-GB"/>
        </w:rPr>
        <w:t xml:space="preserve"> 9</w:t>
      </w:r>
      <w:r w:rsidRPr="1DE94943">
        <w:rPr>
          <w:rFonts w:eastAsia="Times New Roman"/>
          <w:b/>
          <w:bCs/>
          <w:sz w:val="22"/>
          <w:szCs w:val="22"/>
          <w:lang w:val="en-GB"/>
        </w:rPr>
        <w:t xml:space="preserve">: </w:t>
      </w:r>
      <w:r w:rsidRPr="00990ABE">
        <w:rPr>
          <w:rFonts w:eastAsia="Times New Roman"/>
          <w:sz w:val="22"/>
          <w:szCs w:val="22"/>
          <w:lang w:val="en-GB"/>
        </w:rPr>
        <w:t>Higher-layer signalling based on SI, e.g. SIB1, for PRACH adaptation could be considered, in addition to the DCI-based adaptation.</w:t>
      </w:r>
    </w:p>
    <w:p w14:paraId="6686BF87" w14:textId="77777777" w:rsidR="009231C4" w:rsidRDefault="009231C4" w:rsidP="009231C4">
      <w:pPr>
        <w:jc w:val="both"/>
        <w:rPr>
          <w:bCs/>
          <w:sz w:val="22"/>
          <w:szCs w:val="22"/>
        </w:rPr>
      </w:pPr>
      <w:r w:rsidRPr="001C3023">
        <w:rPr>
          <w:b/>
          <w:bCs/>
          <w:sz w:val="22"/>
          <w:szCs w:val="22"/>
        </w:rPr>
        <w:t xml:space="preserve">Proposal </w:t>
      </w:r>
      <w:r>
        <w:rPr>
          <w:b/>
          <w:bCs/>
          <w:sz w:val="22"/>
          <w:szCs w:val="22"/>
        </w:rPr>
        <w:t>10</w:t>
      </w:r>
      <w:r w:rsidRPr="001C3023">
        <w:rPr>
          <w:b/>
          <w:bCs/>
          <w:sz w:val="22"/>
          <w:szCs w:val="22"/>
        </w:rPr>
        <w:t>:</w:t>
      </w:r>
      <w:r w:rsidRPr="001C3023">
        <w:rPr>
          <w:b/>
          <w:sz w:val="22"/>
          <w:szCs w:val="22"/>
        </w:rPr>
        <w:t xml:space="preserve"> </w:t>
      </w:r>
      <w:r w:rsidRPr="001C3023">
        <w:rPr>
          <w:sz w:val="22"/>
          <w:szCs w:val="22"/>
        </w:rPr>
        <w:t>RAN2</w:t>
      </w:r>
      <w:r w:rsidRPr="00B72EBA">
        <w:rPr>
          <w:bCs/>
          <w:sz w:val="22"/>
          <w:szCs w:val="22"/>
        </w:rPr>
        <w:t xml:space="preserve"> </w:t>
      </w:r>
      <w:r>
        <w:rPr>
          <w:bCs/>
          <w:sz w:val="22"/>
          <w:szCs w:val="22"/>
        </w:rPr>
        <w:t>needs to wait for more RAN1 inputs before we can progress detailed signaling of PRACH adaptation</w:t>
      </w:r>
    </w:p>
    <w:p w14:paraId="5A6E9CF8" w14:textId="77777777" w:rsidR="009231C4" w:rsidRPr="00E63263" w:rsidRDefault="009231C4" w:rsidP="009231C4">
      <w:pPr>
        <w:jc w:val="both"/>
        <w:rPr>
          <w:b/>
          <w:sz w:val="22"/>
          <w:szCs w:val="22"/>
        </w:rPr>
      </w:pPr>
      <w:r w:rsidRPr="00C461E2">
        <w:rPr>
          <w:b/>
          <w:bCs/>
          <w:sz w:val="22"/>
          <w:szCs w:val="22"/>
        </w:rPr>
        <w:t xml:space="preserve">Proposal </w:t>
      </w:r>
      <w:r>
        <w:rPr>
          <w:b/>
          <w:bCs/>
          <w:sz w:val="22"/>
          <w:szCs w:val="22"/>
        </w:rPr>
        <w:t>11</w:t>
      </w:r>
      <w:r w:rsidRPr="00C461E2">
        <w:rPr>
          <w:b/>
          <w:bCs/>
          <w:sz w:val="22"/>
          <w:szCs w:val="22"/>
        </w:rPr>
        <w:t xml:space="preserve">: </w:t>
      </w:r>
      <w:r w:rsidRPr="00B72EBA">
        <w:rPr>
          <w:sz w:val="22"/>
          <w:szCs w:val="22"/>
        </w:rPr>
        <w:t xml:space="preserve">PRACH adaptation in time domain </w:t>
      </w:r>
      <w:r>
        <w:rPr>
          <w:sz w:val="22"/>
          <w:szCs w:val="22"/>
        </w:rPr>
        <w:t xml:space="preserve">is supported </w:t>
      </w:r>
      <w:r w:rsidRPr="00B72EBA">
        <w:rPr>
          <w:sz w:val="22"/>
          <w:szCs w:val="22"/>
        </w:rPr>
        <w:t xml:space="preserve">to </w:t>
      </w:r>
      <w:r>
        <w:rPr>
          <w:sz w:val="22"/>
          <w:szCs w:val="22"/>
        </w:rPr>
        <w:t>temporarily</w:t>
      </w:r>
      <w:r w:rsidRPr="00B72EBA">
        <w:rPr>
          <w:sz w:val="22"/>
          <w:szCs w:val="22"/>
        </w:rPr>
        <w:t xml:space="preserve"> </w:t>
      </w:r>
      <w:r>
        <w:rPr>
          <w:sz w:val="22"/>
          <w:szCs w:val="22"/>
        </w:rPr>
        <w:t xml:space="preserve">increase the PRACH capacity to be aligned with clustered paging and </w:t>
      </w:r>
      <w:r w:rsidRPr="00B72EBA">
        <w:rPr>
          <w:sz w:val="22"/>
          <w:szCs w:val="22"/>
        </w:rPr>
        <w:t>spread the PRACH load when paging occasion adaptation is used.</w:t>
      </w:r>
    </w:p>
    <w:p w14:paraId="6088CAC1" w14:textId="77777777" w:rsidR="009231C4" w:rsidRDefault="009231C4" w:rsidP="009231C4">
      <w:pPr>
        <w:rPr>
          <w:b/>
          <w:bCs/>
        </w:rPr>
      </w:pPr>
      <w:r>
        <w:rPr>
          <w:b/>
          <w:bCs/>
        </w:rPr>
        <w:t xml:space="preserve">Observation 2: </w:t>
      </w:r>
      <w:r w:rsidRPr="00271906">
        <w:t>The use of Ns=8 and N=T/32 will result in more than double number of bits required for firstPDCCH-MonitoringOccasionOfPO as compared to the legacy signaling.</w:t>
      </w:r>
    </w:p>
    <w:p w14:paraId="7AD74732" w14:textId="77777777" w:rsidR="009231C4" w:rsidRDefault="009231C4" w:rsidP="009231C4">
      <w:r>
        <w:rPr>
          <w:b/>
          <w:bCs/>
        </w:rPr>
        <w:t xml:space="preserve">Proposal 12: </w:t>
      </w:r>
      <w:r w:rsidRPr="00271906">
        <w:t>RAN2 to discuss how to efficiently transmit firstPDCCH-MonitoringOccasionOfPO for the 4 additional POs of a PF.</w:t>
      </w:r>
    </w:p>
    <w:p w14:paraId="2FD33763" w14:textId="77777777" w:rsidR="009231C4" w:rsidRDefault="009231C4" w:rsidP="009231C4">
      <w:pPr>
        <w:rPr>
          <w:iCs/>
        </w:rPr>
      </w:pPr>
      <w:r>
        <w:rPr>
          <w:b/>
          <w:bCs/>
          <w:iCs/>
        </w:rPr>
        <w:t xml:space="preserve">Observation 3: </w:t>
      </w:r>
      <w:r>
        <w:rPr>
          <w:iCs/>
        </w:rPr>
        <w:t>There may be more than 20 spare bits in the PEI DCI format 2_7, when the number of POs per PEI is 4 (for legacy UEs).</w:t>
      </w:r>
    </w:p>
    <w:p w14:paraId="55008BEF" w14:textId="77777777" w:rsidR="009231C4" w:rsidRPr="00271906" w:rsidRDefault="009231C4" w:rsidP="009231C4">
      <w:r>
        <w:rPr>
          <w:rFonts w:eastAsiaTheme="minorEastAsia"/>
          <w:b/>
          <w:bCs/>
          <w:iCs/>
        </w:rPr>
        <w:t xml:space="preserve">Proposal 13: </w:t>
      </w:r>
      <w:r>
        <w:rPr>
          <w:rFonts w:eastAsiaTheme="minorEastAsia"/>
          <w:iCs/>
        </w:rPr>
        <w:t>RAN2 to discuss the use of a single PEI to address both legacy and release 19 UEs.</w:t>
      </w:r>
    </w:p>
    <w:p w14:paraId="110527CB" w14:textId="77777777" w:rsidR="009231C4" w:rsidRDefault="009231C4" w:rsidP="009231C4"/>
    <w:p w14:paraId="5559FD88" w14:textId="77777777" w:rsidR="009231C4" w:rsidRPr="009231C4" w:rsidRDefault="009231C4" w:rsidP="009231C4"/>
    <w:p w14:paraId="4543BFC5" w14:textId="77777777" w:rsidR="005217C8" w:rsidRPr="005217C8" w:rsidRDefault="005217C8" w:rsidP="005217C8"/>
    <w:sectPr w:rsidR="005217C8" w:rsidRPr="005217C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6B3FE" w14:textId="77777777" w:rsidR="00971C99" w:rsidRPr="00C461E2" w:rsidRDefault="00971C99">
      <w:r w:rsidRPr="00C461E2">
        <w:separator/>
      </w:r>
    </w:p>
  </w:endnote>
  <w:endnote w:type="continuationSeparator" w:id="0">
    <w:p w14:paraId="0080273B" w14:textId="77777777" w:rsidR="00971C99" w:rsidRPr="00C461E2" w:rsidRDefault="00971C99">
      <w:r w:rsidRPr="00C461E2">
        <w:continuationSeparator/>
      </w:r>
    </w:p>
  </w:endnote>
  <w:endnote w:type="continuationNotice" w:id="1">
    <w:p w14:paraId="3FAED465" w14:textId="77777777" w:rsidR="00971C99" w:rsidRPr="00C461E2" w:rsidRDefault="00971C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DotumChe">
    <w:panose1 w:val="020B0609000101010101"/>
    <w:charset w:val="81"/>
    <w:family w:val="modern"/>
    <w:pitch w:val="fixed"/>
    <w:sig w:usb0="B00002AF" w:usb1="69D77CFB" w:usb2="00000030" w:usb3="00000000" w:csb0="0008009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E4D72" w14:textId="77777777" w:rsidR="00E122DF" w:rsidRDefault="00E122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5E5A8" w14:textId="77777777" w:rsidR="00E122DF" w:rsidRDefault="00E122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753E1" w14:textId="77777777" w:rsidR="00E122DF" w:rsidRDefault="00E122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78424" w14:textId="77777777" w:rsidR="00971C99" w:rsidRPr="00C461E2" w:rsidRDefault="00971C99">
      <w:r w:rsidRPr="00C461E2">
        <w:separator/>
      </w:r>
    </w:p>
  </w:footnote>
  <w:footnote w:type="continuationSeparator" w:id="0">
    <w:p w14:paraId="00229FDA" w14:textId="77777777" w:rsidR="00971C99" w:rsidRPr="00C461E2" w:rsidRDefault="00971C99">
      <w:r w:rsidRPr="00C461E2">
        <w:continuationSeparator/>
      </w:r>
    </w:p>
  </w:footnote>
  <w:footnote w:type="continuationNotice" w:id="1">
    <w:p w14:paraId="7FFCCE1D" w14:textId="77777777" w:rsidR="00971C99" w:rsidRPr="00C461E2" w:rsidRDefault="00971C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BF74C" w14:textId="77777777" w:rsidR="00E122DF" w:rsidRDefault="00E122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465B6" w14:textId="77777777" w:rsidR="00E122DF" w:rsidRDefault="00E122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2B1FF" w14:textId="77777777" w:rsidR="00E122DF" w:rsidRDefault="00E122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40FE2"/>
    <w:multiLevelType w:val="hybridMultilevel"/>
    <w:tmpl w:val="AAB0D596"/>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BD469C"/>
    <w:multiLevelType w:val="hybridMultilevel"/>
    <w:tmpl w:val="8506D2E4"/>
    <w:lvl w:ilvl="0" w:tplc="040C000F">
      <w:start w:val="1"/>
      <w:numFmt w:val="decimal"/>
      <w:lvlText w:val="%1."/>
      <w:lvlJc w:val="left"/>
      <w:pPr>
        <w:ind w:left="720" w:hanging="360"/>
      </w:pPr>
    </w:lvl>
    <w:lvl w:ilvl="1" w:tplc="040C0001">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04B8404C"/>
    <w:multiLevelType w:val="hybridMultilevel"/>
    <w:tmpl w:val="228CD8E4"/>
    <w:lvl w:ilvl="0" w:tplc="D1D0D3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04EC0B54"/>
    <w:multiLevelType w:val="hybridMultilevel"/>
    <w:tmpl w:val="ACE8CAD4"/>
    <w:lvl w:ilvl="0" w:tplc="DC6EE820">
      <w:start w:val="1"/>
      <w:numFmt w:val="bullet"/>
      <w:lvlText w:val=""/>
      <w:lvlJc w:val="left"/>
      <w:pPr>
        <w:ind w:left="720" w:hanging="360"/>
      </w:pPr>
      <w:rPr>
        <w:rFonts w:ascii="Symbol" w:hAnsi="Symbol"/>
      </w:rPr>
    </w:lvl>
    <w:lvl w:ilvl="1" w:tplc="A9C6A838">
      <w:start w:val="1"/>
      <w:numFmt w:val="bullet"/>
      <w:lvlText w:val=""/>
      <w:lvlJc w:val="left"/>
      <w:pPr>
        <w:ind w:left="720" w:hanging="360"/>
      </w:pPr>
      <w:rPr>
        <w:rFonts w:ascii="Symbol" w:hAnsi="Symbol"/>
      </w:rPr>
    </w:lvl>
    <w:lvl w:ilvl="2" w:tplc="DF148E10">
      <w:start w:val="1"/>
      <w:numFmt w:val="bullet"/>
      <w:lvlText w:val=""/>
      <w:lvlJc w:val="left"/>
      <w:pPr>
        <w:ind w:left="720" w:hanging="360"/>
      </w:pPr>
      <w:rPr>
        <w:rFonts w:ascii="Symbol" w:hAnsi="Symbol"/>
      </w:rPr>
    </w:lvl>
    <w:lvl w:ilvl="3" w:tplc="87183A0C">
      <w:start w:val="1"/>
      <w:numFmt w:val="bullet"/>
      <w:lvlText w:val=""/>
      <w:lvlJc w:val="left"/>
      <w:pPr>
        <w:ind w:left="720" w:hanging="360"/>
      </w:pPr>
      <w:rPr>
        <w:rFonts w:ascii="Symbol" w:hAnsi="Symbol"/>
      </w:rPr>
    </w:lvl>
    <w:lvl w:ilvl="4" w:tplc="34C60D1E">
      <w:start w:val="1"/>
      <w:numFmt w:val="bullet"/>
      <w:lvlText w:val=""/>
      <w:lvlJc w:val="left"/>
      <w:pPr>
        <w:ind w:left="720" w:hanging="360"/>
      </w:pPr>
      <w:rPr>
        <w:rFonts w:ascii="Symbol" w:hAnsi="Symbol"/>
      </w:rPr>
    </w:lvl>
    <w:lvl w:ilvl="5" w:tplc="97F871D6">
      <w:start w:val="1"/>
      <w:numFmt w:val="bullet"/>
      <w:lvlText w:val=""/>
      <w:lvlJc w:val="left"/>
      <w:pPr>
        <w:ind w:left="720" w:hanging="360"/>
      </w:pPr>
      <w:rPr>
        <w:rFonts w:ascii="Symbol" w:hAnsi="Symbol"/>
      </w:rPr>
    </w:lvl>
    <w:lvl w:ilvl="6" w:tplc="BB6486AC">
      <w:start w:val="1"/>
      <w:numFmt w:val="bullet"/>
      <w:lvlText w:val=""/>
      <w:lvlJc w:val="left"/>
      <w:pPr>
        <w:ind w:left="720" w:hanging="360"/>
      </w:pPr>
      <w:rPr>
        <w:rFonts w:ascii="Symbol" w:hAnsi="Symbol"/>
      </w:rPr>
    </w:lvl>
    <w:lvl w:ilvl="7" w:tplc="DE0ADAD8">
      <w:start w:val="1"/>
      <w:numFmt w:val="bullet"/>
      <w:lvlText w:val=""/>
      <w:lvlJc w:val="left"/>
      <w:pPr>
        <w:ind w:left="720" w:hanging="360"/>
      </w:pPr>
      <w:rPr>
        <w:rFonts w:ascii="Symbol" w:hAnsi="Symbol"/>
      </w:rPr>
    </w:lvl>
    <w:lvl w:ilvl="8" w:tplc="545CB1EE">
      <w:start w:val="1"/>
      <w:numFmt w:val="bullet"/>
      <w:lvlText w:val=""/>
      <w:lvlJc w:val="left"/>
      <w:pPr>
        <w:ind w:left="720" w:hanging="360"/>
      </w:pPr>
      <w:rPr>
        <w:rFonts w:ascii="Symbol" w:hAnsi="Symbol"/>
      </w:rPr>
    </w:lvl>
  </w:abstractNum>
  <w:abstractNum w:abstractNumId="16"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9AA753A"/>
    <w:multiLevelType w:val="hybridMultilevel"/>
    <w:tmpl w:val="6B60B860"/>
    <w:lvl w:ilvl="0" w:tplc="265851DA">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0A3127AD"/>
    <w:multiLevelType w:val="hybridMultilevel"/>
    <w:tmpl w:val="0B8E8358"/>
    <w:lvl w:ilvl="0" w:tplc="05DC1CA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A616705"/>
    <w:multiLevelType w:val="hybridMultilevel"/>
    <w:tmpl w:val="F7B462E0"/>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0" w15:restartNumberingAfterBreak="0">
    <w:nsid w:val="0E714A92"/>
    <w:multiLevelType w:val="hybridMultilevel"/>
    <w:tmpl w:val="9EF21C32"/>
    <w:lvl w:ilvl="0" w:tplc="0978BE3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0E9114A0"/>
    <w:multiLevelType w:val="hybridMultilevel"/>
    <w:tmpl w:val="11543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0A366E3"/>
    <w:multiLevelType w:val="hybridMultilevel"/>
    <w:tmpl w:val="D144DE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5F052D7"/>
    <w:multiLevelType w:val="multilevel"/>
    <w:tmpl w:val="B596E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86218FD"/>
    <w:multiLevelType w:val="hybridMultilevel"/>
    <w:tmpl w:val="9B545E5E"/>
    <w:lvl w:ilvl="0" w:tplc="A29853B2">
      <w:start w:val="1"/>
      <w:numFmt w:val="bullet"/>
      <w:lvlText w:val="-"/>
      <w:lvlJc w:val="left"/>
      <w:pPr>
        <w:tabs>
          <w:tab w:val="num" w:pos="720"/>
        </w:tabs>
        <w:ind w:left="720" w:hanging="360"/>
      </w:pPr>
      <w:rPr>
        <w:rFonts w:ascii="Times" w:hAnsi="Times" w:hint="default"/>
      </w:rPr>
    </w:lvl>
    <w:lvl w:ilvl="1" w:tplc="5504EFCE">
      <w:numFmt w:val="bullet"/>
      <w:lvlText w:val="o"/>
      <w:lvlJc w:val="left"/>
      <w:pPr>
        <w:tabs>
          <w:tab w:val="num" w:pos="1440"/>
        </w:tabs>
        <w:ind w:left="1440" w:hanging="360"/>
      </w:pPr>
      <w:rPr>
        <w:rFonts w:ascii="Courier New" w:hAnsi="Courier New" w:hint="default"/>
      </w:rPr>
    </w:lvl>
    <w:lvl w:ilvl="2" w:tplc="705633B2" w:tentative="1">
      <w:start w:val="1"/>
      <w:numFmt w:val="bullet"/>
      <w:lvlText w:val="-"/>
      <w:lvlJc w:val="left"/>
      <w:pPr>
        <w:tabs>
          <w:tab w:val="num" w:pos="2160"/>
        </w:tabs>
        <w:ind w:left="2160" w:hanging="360"/>
      </w:pPr>
      <w:rPr>
        <w:rFonts w:ascii="Times" w:hAnsi="Times" w:hint="default"/>
      </w:rPr>
    </w:lvl>
    <w:lvl w:ilvl="3" w:tplc="C5562372" w:tentative="1">
      <w:start w:val="1"/>
      <w:numFmt w:val="bullet"/>
      <w:lvlText w:val="-"/>
      <w:lvlJc w:val="left"/>
      <w:pPr>
        <w:tabs>
          <w:tab w:val="num" w:pos="2880"/>
        </w:tabs>
        <w:ind w:left="2880" w:hanging="360"/>
      </w:pPr>
      <w:rPr>
        <w:rFonts w:ascii="Times" w:hAnsi="Times" w:hint="default"/>
      </w:rPr>
    </w:lvl>
    <w:lvl w:ilvl="4" w:tplc="58A0637A" w:tentative="1">
      <w:start w:val="1"/>
      <w:numFmt w:val="bullet"/>
      <w:lvlText w:val="-"/>
      <w:lvlJc w:val="left"/>
      <w:pPr>
        <w:tabs>
          <w:tab w:val="num" w:pos="3600"/>
        </w:tabs>
        <w:ind w:left="3600" w:hanging="360"/>
      </w:pPr>
      <w:rPr>
        <w:rFonts w:ascii="Times" w:hAnsi="Times" w:hint="default"/>
      </w:rPr>
    </w:lvl>
    <w:lvl w:ilvl="5" w:tplc="ADC6FFD0" w:tentative="1">
      <w:start w:val="1"/>
      <w:numFmt w:val="bullet"/>
      <w:lvlText w:val="-"/>
      <w:lvlJc w:val="left"/>
      <w:pPr>
        <w:tabs>
          <w:tab w:val="num" w:pos="4320"/>
        </w:tabs>
        <w:ind w:left="4320" w:hanging="360"/>
      </w:pPr>
      <w:rPr>
        <w:rFonts w:ascii="Times" w:hAnsi="Times" w:hint="default"/>
      </w:rPr>
    </w:lvl>
    <w:lvl w:ilvl="6" w:tplc="7E5AE8FE" w:tentative="1">
      <w:start w:val="1"/>
      <w:numFmt w:val="bullet"/>
      <w:lvlText w:val="-"/>
      <w:lvlJc w:val="left"/>
      <w:pPr>
        <w:tabs>
          <w:tab w:val="num" w:pos="5040"/>
        </w:tabs>
        <w:ind w:left="5040" w:hanging="360"/>
      </w:pPr>
      <w:rPr>
        <w:rFonts w:ascii="Times" w:hAnsi="Times" w:hint="default"/>
      </w:rPr>
    </w:lvl>
    <w:lvl w:ilvl="7" w:tplc="1D22F4CE" w:tentative="1">
      <w:start w:val="1"/>
      <w:numFmt w:val="bullet"/>
      <w:lvlText w:val="-"/>
      <w:lvlJc w:val="left"/>
      <w:pPr>
        <w:tabs>
          <w:tab w:val="num" w:pos="5760"/>
        </w:tabs>
        <w:ind w:left="5760" w:hanging="360"/>
      </w:pPr>
      <w:rPr>
        <w:rFonts w:ascii="Times" w:hAnsi="Times" w:hint="default"/>
      </w:rPr>
    </w:lvl>
    <w:lvl w:ilvl="8" w:tplc="2960CC26"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21305D1D"/>
    <w:multiLevelType w:val="hybridMultilevel"/>
    <w:tmpl w:val="CEC8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F45064"/>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tentative="1">
      <w:start w:val="1"/>
      <w:numFmt w:val="bullet"/>
      <w:lvlText w:val=""/>
      <w:lvlJc w:val="left"/>
      <w:pPr>
        <w:tabs>
          <w:tab w:val="num" w:pos="592"/>
        </w:tabs>
        <w:ind w:left="592" w:hanging="360"/>
      </w:pPr>
      <w:rPr>
        <w:rFonts w:ascii="Symbol" w:hAnsi="Symbol" w:hint="default"/>
        <w:sz w:val="20"/>
      </w:rPr>
    </w:lvl>
    <w:lvl w:ilvl="3" w:tentative="1">
      <w:start w:val="1"/>
      <w:numFmt w:val="bullet"/>
      <w:lvlText w:val=""/>
      <w:lvlJc w:val="left"/>
      <w:pPr>
        <w:tabs>
          <w:tab w:val="num" w:pos="1312"/>
        </w:tabs>
        <w:ind w:left="1312" w:hanging="360"/>
      </w:pPr>
      <w:rPr>
        <w:rFonts w:ascii="Symbol" w:hAnsi="Symbol" w:hint="default"/>
        <w:sz w:val="20"/>
      </w:rPr>
    </w:lvl>
    <w:lvl w:ilvl="4" w:tentative="1">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27" w15:restartNumberingAfterBreak="0">
    <w:nsid w:val="2A1349E3"/>
    <w:multiLevelType w:val="hybridMultilevel"/>
    <w:tmpl w:val="901E4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694923"/>
    <w:multiLevelType w:val="hybridMultilevel"/>
    <w:tmpl w:val="89D42E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B2A2E84"/>
    <w:multiLevelType w:val="hybridMultilevel"/>
    <w:tmpl w:val="C316D130"/>
    <w:lvl w:ilvl="0" w:tplc="FFFFFFFF">
      <w:start w:val="1"/>
      <w:numFmt w:val="decimal"/>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E3A1262"/>
    <w:multiLevelType w:val="hybridMultilevel"/>
    <w:tmpl w:val="FD3C8034"/>
    <w:styleLink w:val="StyleBulleted2"/>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344688B"/>
    <w:multiLevelType w:val="hybridMultilevel"/>
    <w:tmpl w:val="B14AD5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A2B3AB5"/>
    <w:multiLevelType w:val="hybridMultilevel"/>
    <w:tmpl w:val="F8743754"/>
    <w:lvl w:ilvl="0" w:tplc="E3AE23CC">
      <w:start w:val="1"/>
      <w:numFmt w:val="bullet"/>
      <w:lvlText w:val="•"/>
      <w:lvlJc w:val="left"/>
      <w:pPr>
        <w:tabs>
          <w:tab w:val="num" w:pos="720"/>
        </w:tabs>
        <w:ind w:left="720" w:hanging="360"/>
      </w:pPr>
      <w:rPr>
        <w:rFonts w:ascii="Arial" w:hAnsi="Arial" w:hint="default"/>
      </w:rPr>
    </w:lvl>
    <w:lvl w:ilvl="1" w:tplc="AD369086" w:tentative="1">
      <w:start w:val="1"/>
      <w:numFmt w:val="bullet"/>
      <w:lvlText w:val="•"/>
      <w:lvlJc w:val="left"/>
      <w:pPr>
        <w:tabs>
          <w:tab w:val="num" w:pos="1440"/>
        </w:tabs>
        <w:ind w:left="1440" w:hanging="360"/>
      </w:pPr>
      <w:rPr>
        <w:rFonts w:ascii="Arial" w:hAnsi="Arial" w:hint="default"/>
      </w:rPr>
    </w:lvl>
    <w:lvl w:ilvl="2" w:tplc="ED0806F4" w:tentative="1">
      <w:start w:val="1"/>
      <w:numFmt w:val="bullet"/>
      <w:lvlText w:val="•"/>
      <w:lvlJc w:val="left"/>
      <w:pPr>
        <w:tabs>
          <w:tab w:val="num" w:pos="2160"/>
        </w:tabs>
        <w:ind w:left="2160" w:hanging="360"/>
      </w:pPr>
      <w:rPr>
        <w:rFonts w:ascii="Arial" w:hAnsi="Arial" w:hint="default"/>
      </w:rPr>
    </w:lvl>
    <w:lvl w:ilvl="3" w:tplc="22461CFA" w:tentative="1">
      <w:start w:val="1"/>
      <w:numFmt w:val="bullet"/>
      <w:lvlText w:val="•"/>
      <w:lvlJc w:val="left"/>
      <w:pPr>
        <w:tabs>
          <w:tab w:val="num" w:pos="2880"/>
        </w:tabs>
        <w:ind w:left="2880" w:hanging="360"/>
      </w:pPr>
      <w:rPr>
        <w:rFonts w:ascii="Arial" w:hAnsi="Arial" w:hint="default"/>
      </w:rPr>
    </w:lvl>
    <w:lvl w:ilvl="4" w:tplc="E58CE162" w:tentative="1">
      <w:start w:val="1"/>
      <w:numFmt w:val="bullet"/>
      <w:lvlText w:val="•"/>
      <w:lvlJc w:val="left"/>
      <w:pPr>
        <w:tabs>
          <w:tab w:val="num" w:pos="3600"/>
        </w:tabs>
        <w:ind w:left="3600" w:hanging="360"/>
      </w:pPr>
      <w:rPr>
        <w:rFonts w:ascii="Arial" w:hAnsi="Arial" w:hint="default"/>
      </w:rPr>
    </w:lvl>
    <w:lvl w:ilvl="5" w:tplc="0582BE48" w:tentative="1">
      <w:start w:val="1"/>
      <w:numFmt w:val="bullet"/>
      <w:lvlText w:val="•"/>
      <w:lvlJc w:val="left"/>
      <w:pPr>
        <w:tabs>
          <w:tab w:val="num" w:pos="4320"/>
        </w:tabs>
        <w:ind w:left="4320" w:hanging="360"/>
      </w:pPr>
      <w:rPr>
        <w:rFonts w:ascii="Arial" w:hAnsi="Arial" w:hint="default"/>
      </w:rPr>
    </w:lvl>
    <w:lvl w:ilvl="6" w:tplc="5AC6B486" w:tentative="1">
      <w:start w:val="1"/>
      <w:numFmt w:val="bullet"/>
      <w:lvlText w:val="•"/>
      <w:lvlJc w:val="left"/>
      <w:pPr>
        <w:tabs>
          <w:tab w:val="num" w:pos="5040"/>
        </w:tabs>
        <w:ind w:left="5040" w:hanging="360"/>
      </w:pPr>
      <w:rPr>
        <w:rFonts w:ascii="Arial" w:hAnsi="Arial" w:hint="default"/>
      </w:rPr>
    </w:lvl>
    <w:lvl w:ilvl="7" w:tplc="EA92775E" w:tentative="1">
      <w:start w:val="1"/>
      <w:numFmt w:val="bullet"/>
      <w:lvlText w:val="•"/>
      <w:lvlJc w:val="left"/>
      <w:pPr>
        <w:tabs>
          <w:tab w:val="num" w:pos="5760"/>
        </w:tabs>
        <w:ind w:left="5760" w:hanging="360"/>
      </w:pPr>
      <w:rPr>
        <w:rFonts w:ascii="Arial" w:hAnsi="Arial" w:hint="default"/>
      </w:rPr>
    </w:lvl>
    <w:lvl w:ilvl="8" w:tplc="D034D38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BC11F1E"/>
    <w:multiLevelType w:val="multilevel"/>
    <w:tmpl w:val="0804C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BD05677"/>
    <w:multiLevelType w:val="hybridMultilevel"/>
    <w:tmpl w:val="33CC93E8"/>
    <w:lvl w:ilvl="0" w:tplc="36A0E21C">
      <w:start w:val="1"/>
      <w:numFmt w:val="bullet"/>
      <w:lvlText w:val="•"/>
      <w:lvlJc w:val="left"/>
      <w:pPr>
        <w:tabs>
          <w:tab w:val="num" w:pos="720"/>
        </w:tabs>
        <w:ind w:left="720" w:hanging="360"/>
      </w:pPr>
      <w:rPr>
        <w:rFonts w:ascii="Arial" w:hAnsi="Arial" w:hint="default"/>
      </w:rPr>
    </w:lvl>
    <w:lvl w:ilvl="1" w:tplc="84AC64D6">
      <w:start w:val="1"/>
      <w:numFmt w:val="bullet"/>
      <w:lvlText w:val="•"/>
      <w:lvlJc w:val="left"/>
      <w:pPr>
        <w:ind w:left="1440" w:hanging="360"/>
      </w:pPr>
      <w:rPr>
        <w:rFonts w:ascii="Arial" w:hAnsi="Arial" w:hint="default"/>
      </w:rPr>
    </w:lvl>
    <w:lvl w:ilvl="2" w:tplc="1B3AC654" w:tentative="1">
      <w:start w:val="1"/>
      <w:numFmt w:val="bullet"/>
      <w:lvlText w:val="•"/>
      <w:lvlJc w:val="left"/>
      <w:pPr>
        <w:tabs>
          <w:tab w:val="num" w:pos="2160"/>
        </w:tabs>
        <w:ind w:left="2160" w:hanging="360"/>
      </w:pPr>
      <w:rPr>
        <w:rFonts w:ascii="Arial" w:hAnsi="Arial" w:hint="default"/>
      </w:rPr>
    </w:lvl>
    <w:lvl w:ilvl="3" w:tplc="333CD13C" w:tentative="1">
      <w:start w:val="1"/>
      <w:numFmt w:val="bullet"/>
      <w:lvlText w:val="•"/>
      <w:lvlJc w:val="left"/>
      <w:pPr>
        <w:tabs>
          <w:tab w:val="num" w:pos="2880"/>
        </w:tabs>
        <w:ind w:left="2880" w:hanging="360"/>
      </w:pPr>
      <w:rPr>
        <w:rFonts w:ascii="Arial" w:hAnsi="Arial" w:hint="default"/>
      </w:rPr>
    </w:lvl>
    <w:lvl w:ilvl="4" w:tplc="619E7000" w:tentative="1">
      <w:start w:val="1"/>
      <w:numFmt w:val="bullet"/>
      <w:lvlText w:val="•"/>
      <w:lvlJc w:val="left"/>
      <w:pPr>
        <w:tabs>
          <w:tab w:val="num" w:pos="3600"/>
        </w:tabs>
        <w:ind w:left="3600" w:hanging="360"/>
      </w:pPr>
      <w:rPr>
        <w:rFonts w:ascii="Arial" w:hAnsi="Arial" w:hint="default"/>
      </w:rPr>
    </w:lvl>
    <w:lvl w:ilvl="5" w:tplc="23CCB87C" w:tentative="1">
      <w:start w:val="1"/>
      <w:numFmt w:val="bullet"/>
      <w:lvlText w:val="•"/>
      <w:lvlJc w:val="left"/>
      <w:pPr>
        <w:tabs>
          <w:tab w:val="num" w:pos="4320"/>
        </w:tabs>
        <w:ind w:left="4320" w:hanging="360"/>
      </w:pPr>
      <w:rPr>
        <w:rFonts w:ascii="Arial" w:hAnsi="Arial" w:hint="default"/>
      </w:rPr>
    </w:lvl>
    <w:lvl w:ilvl="6" w:tplc="F0F6BD7E" w:tentative="1">
      <w:start w:val="1"/>
      <w:numFmt w:val="bullet"/>
      <w:lvlText w:val="•"/>
      <w:lvlJc w:val="left"/>
      <w:pPr>
        <w:tabs>
          <w:tab w:val="num" w:pos="5040"/>
        </w:tabs>
        <w:ind w:left="5040" w:hanging="360"/>
      </w:pPr>
      <w:rPr>
        <w:rFonts w:ascii="Arial" w:hAnsi="Arial" w:hint="default"/>
      </w:rPr>
    </w:lvl>
    <w:lvl w:ilvl="7" w:tplc="3A0C2CBC" w:tentative="1">
      <w:start w:val="1"/>
      <w:numFmt w:val="bullet"/>
      <w:lvlText w:val="•"/>
      <w:lvlJc w:val="left"/>
      <w:pPr>
        <w:tabs>
          <w:tab w:val="num" w:pos="5760"/>
        </w:tabs>
        <w:ind w:left="5760" w:hanging="360"/>
      </w:pPr>
      <w:rPr>
        <w:rFonts w:ascii="Arial" w:hAnsi="Arial" w:hint="default"/>
      </w:rPr>
    </w:lvl>
    <w:lvl w:ilvl="8" w:tplc="B50AB99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CDA454E"/>
    <w:multiLevelType w:val="multilevel"/>
    <w:tmpl w:val="EB48B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CEF5D19"/>
    <w:multiLevelType w:val="hybridMultilevel"/>
    <w:tmpl w:val="9FC4D2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42" w15:restartNumberingAfterBreak="0">
    <w:nsid w:val="5CDD5361"/>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start w:val="1"/>
      <w:numFmt w:val="bullet"/>
      <w:lvlText w:val=""/>
      <w:lvlJc w:val="left"/>
      <w:pPr>
        <w:tabs>
          <w:tab w:val="num" w:pos="592"/>
        </w:tabs>
        <w:ind w:left="592" w:hanging="360"/>
      </w:pPr>
      <w:rPr>
        <w:rFonts w:ascii="Symbol" w:hAnsi="Symbol" w:hint="default"/>
        <w:sz w:val="20"/>
      </w:rPr>
    </w:lvl>
    <w:lvl w:ilvl="3">
      <w:start w:val="1"/>
      <w:numFmt w:val="bullet"/>
      <w:lvlText w:val=""/>
      <w:lvlJc w:val="left"/>
      <w:pPr>
        <w:tabs>
          <w:tab w:val="num" w:pos="1312"/>
        </w:tabs>
        <w:ind w:left="1312" w:hanging="360"/>
      </w:pPr>
      <w:rPr>
        <w:rFonts w:ascii="Symbol" w:hAnsi="Symbol" w:hint="default"/>
        <w:sz w:val="20"/>
      </w:rPr>
    </w:lvl>
    <w:lvl w:ilvl="4">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43" w15:restartNumberingAfterBreak="0">
    <w:nsid w:val="5D8C0EE6"/>
    <w:multiLevelType w:val="hybridMultilevel"/>
    <w:tmpl w:val="917CC038"/>
    <w:lvl w:ilvl="0" w:tplc="A57ABB9C">
      <w:start w:val="1"/>
      <w:numFmt w:val="bullet"/>
      <w:lvlText w:val=""/>
      <w:lvlJc w:val="left"/>
      <w:pPr>
        <w:tabs>
          <w:tab w:val="num" w:pos="360"/>
        </w:tabs>
        <w:ind w:left="360" w:hanging="360"/>
      </w:pPr>
      <w:rPr>
        <w:rFonts w:ascii="Symbol" w:hAnsi="Symbol" w:hint="default"/>
      </w:rPr>
    </w:lvl>
    <w:lvl w:ilvl="1" w:tplc="CDE09D42">
      <w:numFmt w:val="bullet"/>
      <w:lvlText w:val="o"/>
      <w:lvlJc w:val="left"/>
      <w:pPr>
        <w:tabs>
          <w:tab w:val="num" w:pos="1080"/>
        </w:tabs>
        <w:ind w:left="1080" w:hanging="360"/>
      </w:pPr>
      <w:rPr>
        <w:rFonts w:ascii="Courier New" w:hAnsi="Courier New" w:hint="default"/>
      </w:rPr>
    </w:lvl>
    <w:lvl w:ilvl="2" w:tplc="9B20933A">
      <w:numFmt w:val="bullet"/>
      <w:lvlText w:val=""/>
      <w:lvlJc w:val="left"/>
      <w:pPr>
        <w:tabs>
          <w:tab w:val="num" w:pos="1800"/>
        </w:tabs>
        <w:ind w:left="1800" w:hanging="360"/>
      </w:pPr>
      <w:rPr>
        <w:rFonts w:ascii="Wingdings" w:hAnsi="Wingdings" w:hint="default"/>
      </w:rPr>
    </w:lvl>
    <w:lvl w:ilvl="3" w:tplc="BF28E630" w:tentative="1">
      <w:start w:val="1"/>
      <w:numFmt w:val="bullet"/>
      <w:lvlText w:val=""/>
      <w:lvlJc w:val="left"/>
      <w:pPr>
        <w:tabs>
          <w:tab w:val="num" w:pos="2520"/>
        </w:tabs>
        <w:ind w:left="2520" w:hanging="360"/>
      </w:pPr>
      <w:rPr>
        <w:rFonts w:ascii="Symbol" w:hAnsi="Symbol" w:hint="default"/>
      </w:rPr>
    </w:lvl>
    <w:lvl w:ilvl="4" w:tplc="558A0DC2" w:tentative="1">
      <w:start w:val="1"/>
      <w:numFmt w:val="bullet"/>
      <w:lvlText w:val=""/>
      <w:lvlJc w:val="left"/>
      <w:pPr>
        <w:tabs>
          <w:tab w:val="num" w:pos="3240"/>
        </w:tabs>
        <w:ind w:left="3240" w:hanging="360"/>
      </w:pPr>
      <w:rPr>
        <w:rFonts w:ascii="Symbol" w:hAnsi="Symbol" w:hint="default"/>
      </w:rPr>
    </w:lvl>
    <w:lvl w:ilvl="5" w:tplc="2432E872" w:tentative="1">
      <w:start w:val="1"/>
      <w:numFmt w:val="bullet"/>
      <w:lvlText w:val=""/>
      <w:lvlJc w:val="left"/>
      <w:pPr>
        <w:tabs>
          <w:tab w:val="num" w:pos="3960"/>
        </w:tabs>
        <w:ind w:left="3960" w:hanging="360"/>
      </w:pPr>
      <w:rPr>
        <w:rFonts w:ascii="Symbol" w:hAnsi="Symbol" w:hint="default"/>
      </w:rPr>
    </w:lvl>
    <w:lvl w:ilvl="6" w:tplc="1076C294" w:tentative="1">
      <w:start w:val="1"/>
      <w:numFmt w:val="bullet"/>
      <w:lvlText w:val=""/>
      <w:lvlJc w:val="left"/>
      <w:pPr>
        <w:tabs>
          <w:tab w:val="num" w:pos="4680"/>
        </w:tabs>
        <w:ind w:left="4680" w:hanging="360"/>
      </w:pPr>
      <w:rPr>
        <w:rFonts w:ascii="Symbol" w:hAnsi="Symbol" w:hint="default"/>
      </w:rPr>
    </w:lvl>
    <w:lvl w:ilvl="7" w:tplc="1E32E596" w:tentative="1">
      <w:start w:val="1"/>
      <w:numFmt w:val="bullet"/>
      <w:lvlText w:val=""/>
      <w:lvlJc w:val="left"/>
      <w:pPr>
        <w:tabs>
          <w:tab w:val="num" w:pos="5400"/>
        </w:tabs>
        <w:ind w:left="5400" w:hanging="360"/>
      </w:pPr>
      <w:rPr>
        <w:rFonts w:ascii="Symbol" w:hAnsi="Symbol" w:hint="default"/>
      </w:rPr>
    </w:lvl>
    <w:lvl w:ilvl="8" w:tplc="3D80B200" w:tentative="1">
      <w:start w:val="1"/>
      <w:numFmt w:val="bullet"/>
      <w:lvlText w:val=""/>
      <w:lvlJc w:val="left"/>
      <w:pPr>
        <w:tabs>
          <w:tab w:val="num" w:pos="6120"/>
        </w:tabs>
        <w:ind w:left="6120" w:hanging="360"/>
      </w:pPr>
      <w:rPr>
        <w:rFonts w:ascii="Symbol" w:hAnsi="Symbol" w:hint="default"/>
      </w:rPr>
    </w:lvl>
  </w:abstractNum>
  <w:abstractNum w:abstractNumId="44" w15:restartNumberingAfterBreak="0">
    <w:nsid w:val="658B5F3F"/>
    <w:multiLevelType w:val="multilevel"/>
    <w:tmpl w:val="A2540154"/>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56505C6"/>
    <w:multiLevelType w:val="hybridMultilevel"/>
    <w:tmpl w:val="5502A6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6DE0195"/>
    <w:multiLevelType w:val="hybridMultilevel"/>
    <w:tmpl w:val="D78A66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C8C61F6"/>
    <w:multiLevelType w:val="hybridMultilevel"/>
    <w:tmpl w:val="CA2C9F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7F84426E"/>
    <w:multiLevelType w:val="hybridMultilevel"/>
    <w:tmpl w:val="830CD2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FF06785"/>
    <w:multiLevelType w:val="hybridMultilevel"/>
    <w:tmpl w:val="63EEFA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33"/>
  </w:num>
  <w:num w:numId="5" w16cid:durableId="630793192">
    <w:abstractNumId w:val="31"/>
  </w:num>
  <w:num w:numId="6" w16cid:durableId="1154301696">
    <w:abstractNumId w:val="39"/>
  </w:num>
  <w:num w:numId="7" w16cid:durableId="1489399165">
    <w:abstractNumId w:val="4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810705502">
    <w:abstractNumId w:val="36"/>
  </w:num>
  <w:num w:numId="19" w16cid:durableId="2112702123">
    <w:abstractNumId w:val="16"/>
  </w:num>
  <w:num w:numId="20" w16cid:durableId="735207795">
    <w:abstractNumId w:val="30"/>
  </w:num>
  <w:num w:numId="21" w16cid:durableId="2140680007">
    <w:abstractNumId w:val="49"/>
  </w:num>
  <w:num w:numId="22" w16cid:durableId="1489200992">
    <w:abstractNumId w:val="21"/>
  </w:num>
  <w:num w:numId="23" w16cid:durableId="819494664">
    <w:abstractNumId w:val="25"/>
  </w:num>
  <w:num w:numId="24" w16cid:durableId="1334722971">
    <w:abstractNumId w:val="15"/>
  </w:num>
  <w:num w:numId="25" w16cid:durableId="1443958652">
    <w:abstractNumId w:val="32"/>
  </w:num>
  <w:num w:numId="26" w16cid:durableId="1929383252">
    <w:abstractNumId w:val="18"/>
  </w:num>
  <w:num w:numId="27" w16cid:durableId="460197286">
    <w:abstractNumId w:val="44"/>
  </w:num>
  <w:num w:numId="28" w16cid:durableId="1447575066">
    <w:abstractNumId w:val="34"/>
  </w:num>
  <w:num w:numId="29" w16cid:durableId="657542741">
    <w:abstractNumId w:val="11"/>
  </w:num>
  <w:num w:numId="30" w16cid:durableId="772017122">
    <w:abstractNumId w:val="22"/>
  </w:num>
  <w:num w:numId="31" w16cid:durableId="763889389">
    <w:abstractNumId w:val="29"/>
  </w:num>
  <w:num w:numId="32" w16cid:durableId="235824965">
    <w:abstractNumId w:val="19"/>
  </w:num>
  <w:num w:numId="33" w16cid:durableId="1063330998">
    <w:abstractNumId w:val="13"/>
  </w:num>
  <w:num w:numId="34" w16cid:durableId="53890831">
    <w:abstractNumId w:val="26"/>
  </w:num>
  <w:num w:numId="35" w16cid:durableId="2024894087">
    <w:abstractNumId w:val="48"/>
  </w:num>
  <w:num w:numId="36" w16cid:durableId="144275255">
    <w:abstractNumId w:val="38"/>
  </w:num>
  <w:num w:numId="37" w16cid:durableId="156504104">
    <w:abstractNumId w:val="46"/>
  </w:num>
  <w:num w:numId="38" w16cid:durableId="2145658135">
    <w:abstractNumId w:val="28"/>
  </w:num>
  <w:num w:numId="39" w16cid:durableId="1182822398">
    <w:abstractNumId w:val="37"/>
  </w:num>
  <w:num w:numId="40" w16cid:durableId="1496604128">
    <w:abstractNumId w:val="35"/>
  </w:num>
  <w:num w:numId="41" w16cid:durableId="945163065">
    <w:abstractNumId w:val="23"/>
  </w:num>
  <w:num w:numId="42" w16cid:durableId="1445492814">
    <w:abstractNumId w:val="27"/>
  </w:num>
  <w:num w:numId="43" w16cid:durableId="9375242">
    <w:abstractNumId w:val="41"/>
  </w:num>
  <w:num w:numId="44" w16cid:durableId="414666180">
    <w:abstractNumId w:val="43"/>
  </w:num>
  <w:num w:numId="45" w16cid:durableId="969284191">
    <w:abstractNumId w:val="24"/>
  </w:num>
  <w:num w:numId="46" w16cid:durableId="1761215130">
    <w:abstractNumId w:val="45"/>
  </w:num>
  <w:num w:numId="47" w16cid:durableId="684592972">
    <w:abstractNumId w:val="17"/>
  </w:num>
  <w:num w:numId="48" w16cid:durableId="6076580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60241409">
    <w:abstractNumId w:val="47"/>
  </w:num>
  <w:num w:numId="50" w16cid:durableId="17648375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61849101">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9D"/>
    <w:rsid w:val="000028B7"/>
    <w:rsid w:val="000048F2"/>
    <w:rsid w:val="00004DFE"/>
    <w:rsid w:val="00006C10"/>
    <w:rsid w:val="00006CC9"/>
    <w:rsid w:val="00006D37"/>
    <w:rsid w:val="00011BBC"/>
    <w:rsid w:val="00014042"/>
    <w:rsid w:val="00016557"/>
    <w:rsid w:val="00017075"/>
    <w:rsid w:val="00020E55"/>
    <w:rsid w:val="000222C3"/>
    <w:rsid w:val="000234C7"/>
    <w:rsid w:val="00023C40"/>
    <w:rsid w:val="00023C59"/>
    <w:rsid w:val="00023F60"/>
    <w:rsid w:val="00024B4B"/>
    <w:rsid w:val="00024BBB"/>
    <w:rsid w:val="0002507D"/>
    <w:rsid w:val="00025F3E"/>
    <w:rsid w:val="000275CC"/>
    <w:rsid w:val="00030291"/>
    <w:rsid w:val="00031ED6"/>
    <w:rsid w:val="0003302D"/>
    <w:rsid w:val="00033397"/>
    <w:rsid w:val="00034B3E"/>
    <w:rsid w:val="00037646"/>
    <w:rsid w:val="00040095"/>
    <w:rsid w:val="000404AB"/>
    <w:rsid w:val="00040D04"/>
    <w:rsid w:val="00041864"/>
    <w:rsid w:val="00042BD6"/>
    <w:rsid w:val="00043586"/>
    <w:rsid w:val="00043BAD"/>
    <w:rsid w:val="00044DD4"/>
    <w:rsid w:val="000452B4"/>
    <w:rsid w:val="000474A7"/>
    <w:rsid w:val="00050E92"/>
    <w:rsid w:val="0005142F"/>
    <w:rsid w:val="00054302"/>
    <w:rsid w:val="0005433D"/>
    <w:rsid w:val="000548F8"/>
    <w:rsid w:val="0006185C"/>
    <w:rsid w:val="00062FFC"/>
    <w:rsid w:val="000631B9"/>
    <w:rsid w:val="00065268"/>
    <w:rsid w:val="0006593E"/>
    <w:rsid w:val="00066542"/>
    <w:rsid w:val="000675D6"/>
    <w:rsid w:val="00070357"/>
    <w:rsid w:val="00071482"/>
    <w:rsid w:val="00073471"/>
    <w:rsid w:val="00073C9C"/>
    <w:rsid w:val="00074EF3"/>
    <w:rsid w:val="00076412"/>
    <w:rsid w:val="000769AC"/>
    <w:rsid w:val="00080512"/>
    <w:rsid w:val="00080956"/>
    <w:rsid w:val="000809BC"/>
    <w:rsid w:val="00080D63"/>
    <w:rsid w:val="0008156E"/>
    <w:rsid w:val="00081BE4"/>
    <w:rsid w:val="00084153"/>
    <w:rsid w:val="00084CD2"/>
    <w:rsid w:val="00090468"/>
    <w:rsid w:val="000907CB"/>
    <w:rsid w:val="0009156B"/>
    <w:rsid w:val="000930D5"/>
    <w:rsid w:val="000938D9"/>
    <w:rsid w:val="00094568"/>
    <w:rsid w:val="000954F5"/>
    <w:rsid w:val="00095892"/>
    <w:rsid w:val="00097301"/>
    <w:rsid w:val="0009753E"/>
    <w:rsid w:val="00097A91"/>
    <w:rsid w:val="000A0463"/>
    <w:rsid w:val="000A0F8D"/>
    <w:rsid w:val="000A1DC9"/>
    <w:rsid w:val="000A2E46"/>
    <w:rsid w:val="000A3B21"/>
    <w:rsid w:val="000B04FA"/>
    <w:rsid w:val="000B24BC"/>
    <w:rsid w:val="000B2D85"/>
    <w:rsid w:val="000B338F"/>
    <w:rsid w:val="000B3710"/>
    <w:rsid w:val="000B4782"/>
    <w:rsid w:val="000B6BF0"/>
    <w:rsid w:val="000B7BCF"/>
    <w:rsid w:val="000C0AD7"/>
    <w:rsid w:val="000C275A"/>
    <w:rsid w:val="000C4CAC"/>
    <w:rsid w:val="000C4EC8"/>
    <w:rsid w:val="000C522B"/>
    <w:rsid w:val="000C59FA"/>
    <w:rsid w:val="000C5C42"/>
    <w:rsid w:val="000C6947"/>
    <w:rsid w:val="000C7D39"/>
    <w:rsid w:val="000D06E3"/>
    <w:rsid w:val="000D0768"/>
    <w:rsid w:val="000D31CD"/>
    <w:rsid w:val="000D4009"/>
    <w:rsid w:val="000D44B2"/>
    <w:rsid w:val="000D58AB"/>
    <w:rsid w:val="000D7912"/>
    <w:rsid w:val="000E26C2"/>
    <w:rsid w:val="000E4145"/>
    <w:rsid w:val="000E5B49"/>
    <w:rsid w:val="000E7061"/>
    <w:rsid w:val="000E71EE"/>
    <w:rsid w:val="000F008F"/>
    <w:rsid w:val="000F259B"/>
    <w:rsid w:val="000F2880"/>
    <w:rsid w:val="000F405D"/>
    <w:rsid w:val="000F78AB"/>
    <w:rsid w:val="001000B0"/>
    <w:rsid w:val="00101945"/>
    <w:rsid w:val="00101BEB"/>
    <w:rsid w:val="00104611"/>
    <w:rsid w:val="00105354"/>
    <w:rsid w:val="0010573C"/>
    <w:rsid w:val="00106909"/>
    <w:rsid w:val="001129B8"/>
    <w:rsid w:val="00112F1A"/>
    <w:rsid w:val="00116639"/>
    <w:rsid w:val="00120327"/>
    <w:rsid w:val="00123C46"/>
    <w:rsid w:val="0012420D"/>
    <w:rsid w:val="00124794"/>
    <w:rsid w:val="00125499"/>
    <w:rsid w:val="0012610D"/>
    <w:rsid w:val="0012622F"/>
    <w:rsid w:val="00130E54"/>
    <w:rsid w:val="001329CF"/>
    <w:rsid w:val="00132E4C"/>
    <w:rsid w:val="00135D38"/>
    <w:rsid w:val="00142622"/>
    <w:rsid w:val="00143DF4"/>
    <w:rsid w:val="00145075"/>
    <w:rsid w:val="0014709E"/>
    <w:rsid w:val="00150572"/>
    <w:rsid w:val="001528E3"/>
    <w:rsid w:val="00154299"/>
    <w:rsid w:val="00154890"/>
    <w:rsid w:val="00154F86"/>
    <w:rsid w:val="00156FCC"/>
    <w:rsid w:val="001570DE"/>
    <w:rsid w:val="00161DC0"/>
    <w:rsid w:val="001622AB"/>
    <w:rsid w:val="001625C3"/>
    <w:rsid w:val="001640DC"/>
    <w:rsid w:val="00165FDC"/>
    <w:rsid w:val="00172285"/>
    <w:rsid w:val="001732F9"/>
    <w:rsid w:val="00173FE8"/>
    <w:rsid w:val="001741A0"/>
    <w:rsid w:val="0017569E"/>
    <w:rsid w:val="00175FA0"/>
    <w:rsid w:val="0018468F"/>
    <w:rsid w:val="0018542A"/>
    <w:rsid w:val="00185BB7"/>
    <w:rsid w:val="00187415"/>
    <w:rsid w:val="001876B6"/>
    <w:rsid w:val="00190A0F"/>
    <w:rsid w:val="00191704"/>
    <w:rsid w:val="00192AA5"/>
    <w:rsid w:val="00193C89"/>
    <w:rsid w:val="00194CD0"/>
    <w:rsid w:val="00195280"/>
    <w:rsid w:val="00196AD1"/>
    <w:rsid w:val="001972FE"/>
    <w:rsid w:val="001A1354"/>
    <w:rsid w:val="001A1B3E"/>
    <w:rsid w:val="001A22DA"/>
    <w:rsid w:val="001A3CF5"/>
    <w:rsid w:val="001A483B"/>
    <w:rsid w:val="001A5B3F"/>
    <w:rsid w:val="001A60BC"/>
    <w:rsid w:val="001A6AF1"/>
    <w:rsid w:val="001B038E"/>
    <w:rsid w:val="001B481A"/>
    <w:rsid w:val="001B49C9"/>
    <w:rsid w:val="001B5412"/>
    <w:rsid w:val="001B58D3"/>
    <w:rsid w:val="001B70F1"/>
    <w:rsid w:val="001B770E"/>
    <w:rsid w:val="001C0AC4"/>
    <w:rsid w:val="001C22C9"/>
    <w:rsid w:val="001C23F4"/>
    <w:rsid w:val="001C3023"/>
    <w:rsid w:val="001C4F79"/>
    <w:rsid w:val="001C661A"/>
    <w:rsid w:val="001C69BC"/>
    <w:rsid w:val="001C6AD7"/>
    <w:rsid w:val="001C6BA8"/>
    <w:rsid w:val="001D035B"/>
    <w:rsid w:val="001D0593"/>
    <w:rsid w:val="001D19E4"/>
    <w:rsid w:val="001D265D"/>
    <w:rsid w:val="001D5277"/>
    <w:rsid w:val="001D5BC4"/>
    <w:rsid w:val="001D6575"/>
    <w:rsid w:val="001D6C9C"/>
    <w:rsid w:val="001D714E"/>
    <w:rsid w:val="001D7224"/>
    <w:rsid w:val="001D7CE3"/>
    <w:rsid w:val="001E2F4D"/>
    <w:rsid w:val="001E359A"/>
    <w:rsid w:val="001E54B8"/>
    <w:rsid w:val="001E6668"/>
    <w:rsid w:val="001E77F9"/>
    <w:rsid w:val="001E7AA9"/>
    <w:rsid w:val="001F168B"/>
    <w:rsid w:val="001F2950"/>
    <w:rsid w:val="001F2A77"/>
    <w:rsid w:val="001F60C1"/>
    <w:rsid w:val="001F6B59"/>
    <w:rsid w:val="001F713D"/>
    <w:rsid w:val="001F7831"/>
    <w:rsid w:val="001F7C91"/>
    <w:rsid w:val="002007FC"/>
    <w:rsid w:val="00201351"/>
    <w:rsid w:val="002014BD"/>
    <w:rsid w:val="00201BAF"/>
    <w:rsid w:val="00203935"/>
    <w:rsid w:val="00204045"/>
    <w:rsid w:val="00204B8E"/>
    <w:rsid w:val="0020712B"/>
    <w:rsid w:val="00207344"/>
    <w:rsid w:val="00207607"/>
    <w:rsid w:val="00207A37"/>
    <w:rsid w:val="00210B78"/>
    <w:rsid w:val="002118A6"/>
    <w:rsid w:val="00211E30"/>
    <w:rsid w:val="00212384"/>
    <w:rsid w:val="00213406"/>
    <w:rsid w:val="00216198"/>
    <w:rsid w:val="00216BFF"/>
    <w:rsid w:val="00220144"/>
    <w:rsid w:val="00220D80"/>
    <w:rsid w:val="002213EE"/>
    <w:rsid w:val="00221C30"/>
    <w:rsid w:val="00225BDF"/>
    <w:rsid w:val="0022606D"/>
    <w:rsid w:val="00227925"/>
    <w:rsid w:val="00231728"/>
    <w:rsid w:val="0023781A"/>
    <w:rsid w:val="0023785F"/>
    <w:rsid w:val="002402B7"/>
    <w:rsid w:val="00243062"/>
    <w:rsid w:val="00244519"/>
    <w:rsid w:val="00244A05"/>
    <w:rsid w:val="00244FAE"/>
    <w:rsid w:val="002457CE"/>
    <w:rsid w:val="002464A8"/>
    <w:rsid w:val="00246732"/>
    <w:rsid w:val="002478EB"/>
    <w:rsid w:val="00247D58"/>
    <w:rsid w:val="00250404"/>
    <w:rsid w:val="00250C5E"/>
    <w:rsid w:val="0025392A"/>
    <w:rsid w:val="00253F01"/>
    <w:rsid w:val="00254FD7"/>
    <w:rsid w:val="00256B74"/>
    <w:rsid w:val="00257659"/>
    <w:rsid w:val="00257F04"/>
    <w:rsid w:val="002610D8"/>
    <w:rsid w:val="00263B42"/>
    <w:rsid w:val="00266DC8"/>
    <w:rsid w:val="00271906"/>
    <w:rsid w:val="00271D83"/>
    <w:rsid w:val="002728E6"/>
    <w:rsid w:val="002747EC"/>
    <w:rsid w:val="00274E60"/>
    <w:rsid w:val="002776F1"/>
    <w:rsid w:val="002801B7"/>
    <w:rsid w:val="00280EB9"/>
    <w:rsid w:val="00281AE8"/>
    <w:rsid w:val="0028289C"/>
    <w:rsid w:val="00283741"/>
    <w:rsid w:val="00283F36"/>
    <w:rsid w:val="002855BF"/>
    <w:rsid w:val="002859FA"/>
    <w:rsid w:val="00290A7C"/>
    <w:rsid w:val="002921E3"/>
    <w:rsid w:val="00292852"/>
    <w:rsid w:val="00293124"/>
    <w:rsid w:val="002934BC"/>
    <w:rsid w:val="002A4944"/>
    <w:rsid w:val="002A59C4"/>
    <w:rsid w:val="002B2988"/>
    <w:rsid w:val="002B517B"/>
    <w:rsid w:val="002B545D"/>
    <w:rsid w:val="002B6213"/>
    <w:rsid w:val="002B692F"/>
    <w:rsid w:val="002B72F6"/>
    <w:rsid w:val="002C0790"/>
    <w:rsid w:val="002C13DA"/>
    <w:rsid w:val="002C206D"/>
    <w:rsid w:val="002C4004"/>
    <w:rsid w:val="002C4B40"/>
    <w:rsid w:val="002C6070"/>
    <w:rsid w:val="002C7C5B"/>
    <w:rsid w:val="002D1165"/>
    <w:rsid w:val="002D4965"/>
    <w:rsid w:val="002D64E9"/>
    <w:rsid w:val="002D6D7C"/>
    <w:rsid w:val="002D7445"/>
    <w:rsid w:val="002D7DD1"/>
    <w:rsid w:val="002E0EA8"/>
    <w:rsid w:val="002E1C64"/>
    <w:rsid w:val="002E3EE8"/>
    <w:rsid w:val="002E4EA2"/>
    <w:rsid w:val="002E5F7A"/>
    <w:rsid w:val="002E6A38"/>
    <w:rsid w:val="002E6EFD"/>
    <w:rsid w:val="002E76ED"/>
    <w:rsid w:val="002E7783"/>
    <w:rsid w:val="002F0D22"/>
    <w:rsid w:val="002F1E95"/>
    <w:rsid w:val="002F269A"/>
    <w:rsid w:val="002F3AB7"/>
    <w:rsid w:val="002F4F3A"/>
    <w:rsid w:val="0030020B"/>
    <w:rsid w:val="00301124"/>
    <w:rsid w:val="00301FA6"/>
    <w:rsid w:val="003039E3"/>
    <w:rsid w:val="00306208"/>
    <w:rsid w:val="00306D81"/>
    <w:rsid w:val="0030740E"/>
    <w:rsid w:val="003077B4"/>
    <w:rsid w:val="00310364"/>
    <w:rsid w:val="00310F6F"/>
    <w:rsid w:val="00311B17"/>
    <w:rsid w:val="003129B0"/>
    <w:rsid w:val="00312B08"/>
    <w:rsid w:val="003160F6"/>
    <w:rsid w:val="00316FAC"/>
    <w:rsid w:val="003172DC"/>
    <w:rsid w:val="00320EF4"/>
    <w:rsid w:val="00320FA2"/>
    <w:rsid w:val="003219CF"/>
    <w:rsid w:val="00325AE3"/>
    <w:rsid w:val="00326069"/>
    <w:rsid w:val="00326410"/>
    <w:rsid w:val="003272DD"/>
    <w:rsid w:val="00327BCB"/>
    <w:rsid w:val="003318C2"/>
    <w:rsid w:val="00334015"/>
    <w:rsid w:val="003344F6"/>
    <w:rsid w:val="003378C2"/>
    <w:rsid w:val="003405E7"/>
    <w:rsid w:val="00340871"/>
    <w:rsid w:val="00343A35"/>
    <w:rsid w:val="00344DE7"/>
    <w:rsid w:val="00346588"/>
    <w:rsid w:val="00347D35"/>
    <w:rsid w:val="00351186"/>
    <w:rsid w:val="00352340"/>
    <w:rsid w:val="0035462D"/>
    <w:rsid w:val="00357CF7"/>
    <w:rsid w:val="003609CD"/>
    <w:rsid w:val="00360A14"/>
    <w:rsid w:val="003617F0"/>
    <w:rsid w:val="00363011"/>
    <w:rsid w:val="00363AD0"/>
    <w:rsid w:val="00363E8B"/>
    <w:rsid w:val="00364227"/>
    <w:rsid w:val="0036459E"/>
    <w:rsid w:val="00364B41"/>
    <w:rsid w:val="00371A03"/>
    <w:rsid w:val="00374D37"/>
    <w:rsid w:val="00375DD0"/>
    <w:rsid w:val="00383096"/>
    <w:rsid w:val="00383719"/>
    <w:rsid w:val="00384D3E"/>
    <w:rsid w:val="00384D5C"/>
    <w:rsid w:val="003854FE"/>
    <w:rsid w:val="00385887"/>
    <w:rsid w:val="00391ECC"/>
    <w:rsid w:val="0039346C"/>
    <w:rsid w:val="0039490C"/>
    <w:rsid w:val="00394ED2"/>
    <w:rsid w:val="00395976"/>
    <w:rsid w:val="003A04D5"/>
    <w:rsid w:val="003A317A"/>
    <w:rsid w:val="003A41EF"/>
    <w:rsid w:val="003A64BA"/>
    <w:rsid w:val="003B0CF5"/>
    <w:rsid w:val="003B40AD"/>
    <w:rsid w:val="003B41FE"/>
    <w:rsid w:val="003B4D04"/>
    <w:rsid w:val="003B5632"/>
    <w:rsid w:val="003B5F18"/>
    <w:rsid w:val="003B5F1B"/>
    <w:rsid w:val="003C18CB"/>
    <w:rsid w:val="003C1D90"/>
    <w:rsid w:val="003C3605"/>
    <w:rsid w:val="003C4479"/>
    <w:rsid w:val="003C4E37"/>
    <w:rsid w:val="003D0FD0"/>
    <w:rsid w:val="003D23B3"/>
    <w:rsid w:val="003D28B8"/>
    <w:rsid w:val="003D5576"/>
    <w:rsid w:val="003D5D9B"/>
    <w:rsid w:val="003D7AEB"/>
    <w:rsid w:val="003E16BE"/>
    <w:rsid w:val="003E1A83"/>
    <w:rsid w:val="003E30F9"/>
    <w:rsid w:val="003E46BB"/>
    <w:rsid w:val="003E4E82"/>
    <w:rsid w:val="003E5716"/>
    <w:rsid w:val="003E5AD5"/>
    <w:rsid w:val="003E6A5B"/>
    <w:rsid w:val="003E789A"/>
    <w:rsid w:val="003F0724"/>
    <w:rsid w:val="003F205E"/>
    <w:rsid w:val="003F3317"/>
    <w:rsid w:val="003F4A10"/>
    <w:rsid w:val="003F4E03"/>
    <w:rsid w:val="003F4E28"/>
    <w:rsid w:val="003F62B8"/>
    <w:rsid w:val="003F74A3"/>
    <w:rsid w:val="003F76B6"/>
    <w:rsid w:val="004006E8"/>
    <w:rsid w:val="00401855"/>
    <w:rsid w:val="00401CE6"/>
    <w:rsid w:val="00404501"/>
    <w:rsid w:val="0040710A"/>
    <w:rsid w:val="0041044C"/>
    <w:rsid w:val="00412B64"/>
    <w:rsid w:val="00412FAD"/>
    <w:rsid w:val="0041330D"/>
    <w:rsid w:val="00413928"/>
    <w:rsid w:val="0041518A"/>
    <w:rsid w:val="00415583"/>
    <w:rsid w:val="00415CCF"/>
    <w:rsid w:val="00417A41"/>
    <w:rsid w:val="00424C57"/>
    <w:rsid w:val="00426C97"/>
    <w:rsid w:val="004274DE"/>
    <w:rsid w:val="0043296C"/>
    <w:rsid w:val="00433779"/>
    <w:rsid w:val="004349E8"/>
    <w:rsid w:val="004362A7"/>
    <w:rsid w:val="00436965"/>
    <w:rsid w:val="0044065A"/>
    <w:rsid w:val="00440874"/>
    <w:rsid w:val="00440E30"/>
    <w:rsid w:val="00440F57"/>
    <w:rsid w:val="0044206E"/>
    <w:rsid w:val="00445303"/>
    <w:rsid w:val="00445A69"/>
    <w:rsid w:val="004464CA"/>
    <w:rsid w:val="00446BB9"/>
    <w:rsid w:val="00446C3A"/>
    <w:rsid w:val="00447A8A"/>
    <w:rsid w:val="00447AA4"/>
    <w:rsid w:val="0045151B"/>
    <w:rsid w:val="00451BBD"/>
    <w:rsid w:val="0045434A"/>
    <w:rsid w:val="004543AE"/>
    <w:rsid w:val="004573F4"/>
    <w:rsid w:val="00460CDE"/>
    <w:rsid w:val="00460EB8"/>
    <w:rsid w:val="004625EF"/>
    <w:rsid w:val="00465587"/>
    <w:rsid w:val="004657F9"/>
    <w:rsid w:val="004700AD"/>
    <w:rsid w:val="00471C62"/>
    <w:rsid w:val="004731DB"/>
    <w:rsid w:val="00473262"/>
    <w:rsid w:val="004739D3"/>
    <w:rsid w:val="00473DE5"/>
    <w:rsid w:val="0047518D"/>
    <w:rsid w:val="00475CEF"/>
    <w:rsid w:val="00477455"/>
    <w:rsid w:val="004804A4"/>
    <w:rsid w:val="00486247"/>
    <w:rsid w:val="00487A7B"/>
    <w:rsid w:val="0049093E"/>
    <w:rsid w:val="00494810"/>
    <w:rsid w:val="00496086"/>
    <w:rsid w:val="0049759D"/>
    <w:rsid w:val="004A11AD"/>
    <w:rsid w:val="004A12F8"/>
    <w:rsid w:val="004A1F5C"/>
    <w:rsid w:val="004A1F7B"/>
    <w:rsid w:val="004A2DBC"/>
    <w:rsid w:val="004A405A"/>
    <w:rsid w:val="004A4C7E"/>
    <w:rsid w:val="004B0B5F"/>
    <w:rsid w:val="004B26F1"/>
    <w:rsid w:val="004B2D4B"/>
    <w:rsid w:val="004B363B"/>
    <w:rsid w:val="004B405F"/>
    <w:rsid w:val="004B4AD3"/>
    <w:rsid w:val="004B4F5B"/>
    <w:rsid w:val="004B7F5E"/>
    <w:rsid w:val="004C187E"/>
    <w:rsid w:val="004C1B85"/>
    <w:rsid w:val="004C1F03"/>
    <w:rsid w:val="004C3F4D"/>
    <w:rsid w:val="004C44D2"/>
    <w:rsid w:val="004D074A"/>
    <w:rsid w:val="004D1365"/>
    <w:rsid w:val="004D1B34"/>
    <w:rsid w:val="004D2603"/>
    <w:rsid w:val="004D299A"/>
    <w:rsid w:val="004D32C3"/>
    <w:rsid w:val="004D3578"/>
    <w:rsid w:val="004D380D"/>
    <w:rsid w:val="004D4565"/>
    <w:rsid w:val="004D6598"/>
    <w:rsid w:val="004E083B"/>
    <w:rsid w:val="004E213A"/>
    <w:rsid w:val="004E445C"/>
    <w:rsid w:val="004E4670"/>
    <w:rsid w:val="004E4812"/>
    <w:rsid w:val="004E51C5"/>
    <w:rsid w:val="004E6777"/>
    <w:rsid w:val="004E7553"/>
    <w:rsid w:val="004F112A"/>
    <w:rsid w:val="004F113C"/>
    <w:rsid w:val="004F1A25"/>
    <w:rsid w:val="004F2811"/>
    <w:rsid w:val="004F4540"/>
    <w:rsid w:val="004F6EBD"/>
    <w:rsid w:val="004F7291"/>
    <w:rsid w:val="004F73A7"/>
    <w:rsid w:val="0050005D"/>
    <w:rsid w:val="0050020C"/>
    <w:rsid w:val="0050074C"/>
    <w:rsid w:val="00503171"/>
    <w:rsid w:val="005048DE"/>
    <w:rsid w:val="00505018"/>
    <w:rsid w:val="00506C28"/>
    <w:rsid w:val="005108D5"/>
    <w:rsid w:val="00510AF6"/>
    <w:rsid w:val="00511C3B"/>
    <w:rsid w:val="00512EF8"/>
    <w:rsid w:val="0051389C"/>
    <w:rsid w:val="00515634"/>
    <w:rsid w:val="00515B3B"/>
    <w:rsid w:val="00515CFC"/>
    <w:rsid w:val="005217C8"/>
    <w:rsid w:val="00523E19"/>
    <w:rsid w:val="00525DFE"/>
    <w:rsid w:val="005304FC"/>
    <w:rsid w:val="00531EBD"/>
    <w:rsid w:val="00533C30"/>
    <w:rsid w:val="00533EFB"/>
    <w:rsid w:val="00534DA0"/>
    <w:rsid w:val="00537342"/>
    <w:rsid w:val="00537809"/>
    <w:rsid w:val="00540E87"/>
    <w:rsid w:val="00541896"/>
    <w:rsid w:val="005432D9"/>
    <w:rsid w:val="00543533"/>
    <w:rsid w:val="00543E6C"/>
    <w:rsid w:val="00545B2B"/>
    <w:rsid w:val="00547A3C"/>
    <w:rsid w:val="005500F2"/>
    <w:rsid w:val="00552372"/>
    <w:rsid w:val="005529EA"/>
    <w:rsid w:val="00556296"/>
    <w:rsid w:val="00557D65"/>
    <w:rsid w:val="00562E3F"/>
    <w:rsid w:val="00563C0C"/>
    <w:rsid w:val="00565087"/>
    <w:rsid w:val="0056573F"/>
    <w:rsid w:val="005679A8"/>
    <w:rsid w:val="00567D70"/>
    <w:rsid w:val="00571279"/>
    <w:rsid w:val="0057223B"/>
    <w:rsid w:val="00573FFB"/>
    <w:rsid w:val="00575EA3"/>
    <w:rsid w:val="00575FC5"/>
    <w:rsid w:val="00582EEC"/>
    <w:rsid w:val="00583058"/>
    <w:rsid w:val="005836D8"/>
    <w:rsid w:val="005840CB"/>
    <w:rsid w:val="0058562E"/>
    <w:rsid w:val="005866FD"/>
    <w:rsid w:val="00586C31"/>
    <w:rsid w:val="00593745"/>
    <w:rsid w:val="00594D90"/>
    <w:rsid w:val="005953F0"/>
    <w:rsid w:val="005A0FB6"/>
    <w:rsid w:val="005A13AB"/>
    <w:rsid w:val="005A1A47"/>
    <w:rsid w:val="005A2768"/>
    <w:rsid w:val="005A3D08"/>
    <w:rsid w:val="005A49C6"/>
    <w:rsid w:val="005A7B7D"/>
    <w:rsid w:val="005B0302"/>
    <w:rsid w:val="005B329F"/>
    <w:rsid w:val="005B4C8B"/>
    <w:rsid w:val="005B5D45"/>
    <w:rsid w:val="005B610D"/>
    <w:rsid w:val="005C0AD6"/>
    <w:rsid w:val="005C10A3"/>
    <w:rsid w:val="005C244E"/>
    <w:rsid w:val="005C2513"/>
    <w:rsid w:val="005C3A52"/>
    <w:rsid w:val="005C6D6B"/>
    <w:rsid w:val="005C71BD"/>
    <w:rsid w:val="005C766E"/>
    <w:rsid w:val="005C7CD5"/>
    <w:rsid w:val="005D026B"/>
    <w:rsid w:val="005D0FD6"/>
    <w:rsid w:val="005D1024"/>
    <w:rsid w:val="005D2378"/>
    <w:rsid w:val="005D360D"/>
    <w:rsid w:val="005D62E2"/>
    <w:rsid w:val="005D693F"/>
    <w:rsid w:val="005E2ADA"/>
    <w:rsid w:val="005E6122"/>
    <w:rsid w:val="005F0F16"/>
    <w:rsid w:val="005F1BB0"/>
    <w:rsid w:val="005F2357"/>
    <w:rsid w:val="005F2944"/>
    <w:rsid w:val="005F415F"/>
    <w:rsid w:val="005F4862"/>
    <w:rsid w:val="005F4CB2"/>
    <w:rsid w:val="005F5AC5"/>
    <w:rsid w:val="005F7720"/>
    <w:rsid w:val="00600AC0"/>
    <w:rsid w:val="00600CDD"/>
    <w:rsid w:val="006013DF"/>
    <w:rsid w:val="00601D37"/>
    <w:rsid w:val="00602CD5"/>
    <w:rsid w:val="00603214"/>
    <w:rsid w:val="00603A24"/>
    <w:rsid w:val="006055B8"/>
    <w:rsid w:val="00605906"/>
    <w:rsid w:val="006068C3"/>
    <w:rsid w:val="00610944"/>
    <w:rsid w:val="00611566"/>
    <w:rsid w:val="00611668"/>
    <w:rsid w:val="00614C02"/>
    <w:rsid w:val="006151FD"/>
    <w:rsid w:val="006161B2"/>
    <w:rsid w:val="006162E2"/>
    <w:rsid w:val="00616969"/>
    <w:rsid w:val="00617214"/>
    <w:rsid w:val="00617DDC"/>
    <w:rsid w:val="006200F4"/>
    <w:rsid w:val="00620114"/>
    <w:rsid w:val="00621FA0"/>
    <w:rsid w:val="0062479D"/>
    <w:rsid w:val="00624B48"/>
    <w:rsid w:val="00624D5F"/>
    <w:rsid w:val="0063069E"/>
    <w:rsid w:val="00631367"/>
    <w:rsid w:val="00632221"/>
    <w:rsid w:val="00634C18"/>
    <w:rsid w:val="006355D9"/>
    <w:rsid w:val="00636714"/>
    <w:rsid w:val="006379EB"/>
    <w:rsid w:val="00637A21"/>
    <w:rsid w:val="00640864"/>
    <w:rsid w:val="00640D22"/>
    <w:rsid w:val="00642EEE"/>
    <w:rsid w:val="00644009"/>
    <w:rsid w:val="00644522"/>
    <w:rsid w:val="006459B1"/>
    <w:rsid w:val="006468CF"/>
    <w:rsid w:val="00646D89"/>
    <w:rsid w:val="00646D99"/>
    <w:rsid w:val="00647446"/>
    <w:rsid w:val="00650868"/>
    <w:rsid w:val="00652BC3"/>
    <w:rsid w:val="006540AA"/>
    <w:rsid w:val="00654C4C"/>
    <w:rsid w:val="0065550F"/>
    <w:rsid w:val="00656910"/>
    <w:rsid w:val="006574C0"/>
    <w:rsid w:val="00657D29"/>
    <w:rsid w:val="00663E21"/>
    <w:rsid w:val="0066417D"/>
    <w:rsid w:val="006644E1"/>
    <w:rsid w:val="00664B6C"/>
    <w:rsid w:val="0066747D"/>
    <w:rsid w:val="0067187C"/>
    <w:rsid w:val="00672315"/>
    <w:rsid w:val="00675462"/>
    <w:rsid w:val="006801DF"/>
    <w:rsid w:val="00680C2F"/>
    <w:rsid w:val="006816C7"/>
    <w:rsid w:val="006833B7"/>
    <w:rsid w:val="006846C9"/>
    <w:rsid w:val="00685CD4"/>
    <w:rsid w:val="0069246C"/>
    <w:rsid w:val="0069349F"/>
    <w:rsid w:val="00693D4A"/>
    <w:rsid w:val="00696821"/>
    <w:rsid w:val="006969CF"/>
    <w:rsid w:val="006A2751"/>
    <w:rsid w:val="006A4E3C"/>
    <w:rsid w:val="006A4EA5"/>
    <w:rsid w:val="006A77C4"/>
    <w:rsid w:val="006A7C34"/>
    <w:rsid w:val="006B3783"/>
    <w:rsid w:val="006B39BA"/>
    <w:rsid w:val="006B6528"/>
    <w:rsid w:val="006C12C8"/>
    <w:rsid w:val="006C137E"/>
    <w:rsid w:val="006C1F2C"/>
    <w:rsid w:val="006C3169"/>
    <w:rsid w:val="006C33D4"/>
    <w:rsid w:val="006C3DD1"/>
    <w:rsid w:val="006C5B97"/>
    <w:rsid w:val="006C66D8"/>
    <w:rsid w:val="006D1E24"/>
    <w:rsid w:val="006D2A19"/>
    <w:rsid w:val="006D3027"/>
    <w:rsid w:val="006D35DE"/>
    <w:rsid w:val="006D7228"/>
    <w:rsid w:val="006E0196"/>
    <w:rsid w:val="006E0E7B"/>
    <w:rsid w:val="006E1057"/>
    <w:rsid w:val="006E1304"/>
    <w:rsid w:val="006E1417"/>
    <w:rsid w:val="006E2985"/>
    <w:rsid w:val="006E32FA"/>
    <w:rsid w:val="006E37D4"/>
    <w:rsid w:val="006E4EA7"/>
    <w:rsid w:val="006E601A"/>
    <w:rsid w:val="006F13C5"/>
    <w:rsid w:val="006F1C2E"/>
    <w:rsid w:val="006F51AD"/>
    <w:rsid w:val="006F67C0"/>
    <w:rsid w:val="006F6A2C"/>
    <w:rsid w:val="00700D8E"/>
    <w:rsid w:val="0070149E"/>
    <w:rsid w:val="00706191"/>
    <w:rsid w:val="007067A6"/>
    <w:rsid w:val="007069DC"/>
    <w:rsid w:val="00710201"/>
    <w:rsid w:val="00710ACD"/>
    <w:rsid w:val="00710C2C"/>
    <w:rsid w:val="0071444C"/>
    <w:rsid w:val="007148FA"/>
    <w:rsid w:val="007170AA"/>
    <w:rsid w:val="0071738E"/>
    <w:rsid w:val="007177D5"/>
    <w:rsid w:val="00720251"/>
    <w:rsid w:val="0072073A"/>
    <w:rsid w:val="00723901"/>
    <w:rsid w:val="00723B23"/>
    <w:rsid w:val="00723D2F"/>
    <w:rsid w:val="00723DC7"/>
    <w:rsid w:val="00723E65"/>
    <w:rsid w:val="00725334"/>
    <w:rsid w:val="00726165"/>
    <w:rsid w:val="00726A95"/>
    <w:rsid w:val="00727B11"/>
    <w:rsid w:val="007326B4"/>
    <w:rsid w:val="00732B9B"/>
    <w:rsid w:val="00734011"/>
    <w:rsid w:val="007342B5"/>
    <w:rsid w:val="00734629"/>
    <w:rsid w:val="00734A5B"/>
    <w:rsid w:val="00734F9B"/>
    <w:rsid w:val="007351FD"/>
    <w:rsid w:val="007353AA"/>
    <w:rsid w:val="0073589F"/>
    <w:rsid w:val="00736561"/>
    <w:rsid w:val="00741F68"/>
    <w:rsid w:val="00744B85"/>
    <w:rsid w:val="00744E76"/>
    <w:rsid w:val="00745855"/>
    <w:rsid w:val="0074699A"/>
    <w:rsid w:val="007543B5"/>
    <w:rsid w:val="00754D6C"/>
    <w:rsid w:val="00756F62"/>
    <w:rsid w:val="00756F78"/>
    <w:rsid w:val="00757D40"/>
    <w:rsid w:val="00760AE3"/>
    <w:rsid w:val="007636AD"/>
    <w:rsid w:val="00763991"/>
    <w:rsid w:val="00765995"/>
    <w:rsid w:val="007662B5"/>
    <w:rsid w:val="0076656E"/>
    <w:rsid w:val="00767F5F"/>
    <w:rsid w:val="007711B1"/>
    <w:rsid w:val="00773966"/>
    <w:rsid w:val="0077404B"/>
    <w:rsid w:val="007754BF"/>
    <w:rsid w:val="00777809"/>
    <w:rsid w:val="00777872"/>
    <w:rsid w:val="00777FE6"/>
    <w:rsid w:val="00781CCC"/>
    <w:rsid w:val="00781F0F"/>
    <w:rsid w:val="00782548"/>
    <w:rsid w:val="00782F80"/>
    <w:rsid w:val="00783AE8"/>
    <w:rsid w:val="00785262"/>
    <w:rsid w:val="00786869"/>
    <w:rsid w:val="00786BEE"/>
    <w:rsid w:val="00787078"/>
    <w:rsid w:val="00787112"/>
    <w:rsid w:val="0078727C"/>
    <w:rsid w:val="00787927"/>
    <w:rsid w:val="0079049D"/>
    <w:rsid w:val="007911F4"/>
    <w:rsid w:val="00793DC5"/>
    <w:rsid w:val="00793EF0"/>
    <w:rsid w:val="00794BCC"/>
    <w:rsid w:val="00795AE9"/>
    <w:rsid w:val="00796823"/>
    <w:rsid w:val="007977A3"/>
    <w:rsid w:val="007A19A8"/>
    <w:rsid w:val="007A2E55"/>
    <w:rsid w:val="007A4B47"/>
    <w:rsid w:val="007A5A0C"/>
    <w:rsid w:val="007B03FA"/>
    <w:rsid w:val="007B18D8"/>
    <w:rsid w:val="007B2024"/>
    <w:rsid w:val="007B49E8"/>
    <w:rsid w:val="007B6DAB"/>
    <w:rsid w:val="007B71D9"/>
    <w:rsid w:val="007B7B1B"/>
    <w:rsid w:val="007C06B4"/>
    <w:rsid w:val="007C095F"/>
    <w:rsid w:val="007C1B8C"/>
    <w:rsid w:val="007C2DD0"/>
    <w:rsid w:val="007C45D5"/>
    <w:rsid w:val="007C4789"/>
    <w:rsid w:val="007C53E5"/>
    <w:rsid w:val="007D0206"/>
    <w:rsid w:val="007D1A73"/>
    <w:rsid w:val="007D2DF7"/>
    <w:rsid w:val="007D3A59"/>
    <w:rsid w:val="007D493B"/>
    <w:rsid w:val="007D666E"/>
    <w:rsid w:val="007D673E"/>
    <w:rsid w:val="007E1CB5"/>
    <w:rsid w:val="007E3F01"/>
    <w:rsid w:val="007E619D"/>
    <w:rsid w:val="007F0DD9"/>
    <w:rsid w:val="007F10BB"/>
    <w:rsid w:val="007F1758"/>
    <w:rsid w:val="007F18F2"/>
    <w:rsid w:val="007F26E4"/>
    <w:rsid w:val="007F2E08"/>
    <w:rsid w:val="007F2FCA"/>
    <w:rsid w:val="007F372A"/>
    <w:rsid w:val="007F3933"/>
    <w:rsid w:val="007F4E36"/>
    <w:rsid w:val="007F5339"/>
    <w:rsid w:val="007F595E"/>
    <w:rsid w:val="007F720E"/>
    <w:rsid w:val="00801991"/>
    <w:rsid w:val="008024CF"/>
    <w:rsid w:val="008024FA"/>
    <w:rsid w:val="008028A4"/>
    <w:rsid w:val="00804A77"/>
    <w:rsid w:val="0080592D"/>
    <w:rsid w:val="00805E5B"/>
    <w:rsid w:val="00806417"/>
    <w:rsid w:val="00806815"/>
    <w:rsid w:val="00806995"/>
    <w:rsid w:val="00807F74"/>
    <w:rsid w:val="00811AE2"/>
    <w:rsid w:val="00813245"/>
    <w:rsid w:val="00813AFB"/>
    <w:rsid w:val="00814B7D"/>
    <w:rsid w:val="0081531D"/>
    <w:rsid w:val="00815BAD"/>
    <w:rsid w:val="00815EB3"/>
    <w:rsid w:val="008179D3"/>
    <w:rsid w:val="00817BFB"/>
    <w:rsid w:val="008217A7"/>
    <w:rsid w:val="0082181C"/>
    <w:rsid w:val="008253C5"/>
    <w:rsid w:val="00826B63"/>
    <w:rsid w:val="008277DD"/>
    <w:rsid w:val="00827883"/>
    <w:rsid w:val="00827CF1"/>
    <w:rsid w:val="0083066C"/>
    <w:rsid w:val="00830B00"/>
    <w:rsid w:val="008333A1"/>
    <w:rsid w:val="00833926"/>
    <w:rsid w:val="008375CA"/>
    <w:rsid w:val="00840605"/>
    <w:rsid w:val="008406BE"/>
    <w:rsid w:val="00840DE0"/>
    <w:rsid w:val="00841820"/>
    <w:rsid w:val="008418EB"/>
    <w:rsid w:val="00841D8D"/>
    <w:rsid w:val="0084330B"/>
    <w:rsid w:val="0084371D"/>
    <w:rsid w:val="00844A76"/>
    <w:rsid w:val="008459D4"/>
    <w:rsid w:val="00847485"/>
    <w:rsid w:val="00847CD0"/>
    <w:rsid w:val="00853761"/>
    <w:rsid w:val="008537C7"/>
    <w:rsid w:val="00853BC6"/>
    <w:rsid w:val="00857533"/>
    <w:rsid w:val="00857FDB"/>
    <w:rsid w:val="00860495"/>
    <w:rsid w:val="008607A8"/>
    <w:rsid w:val="00860F1F"/>
    <w:rsid w:val="00860FD1"/>
    <w:rsid w:val="008610E5"/>
    <w:rsid w:val="0086354A"/>
    <w:rsid w:val="00863B12"/>
    <w:rsid w:val="00863C44"/>
    <w:rsid w:val="00864218"/>
    <w:rsid w:val="00866209"/>
    <w:rsid w:val="0086655E"/>
    <w:rsid w:val="00867B6B"/>
    <w:rsid w:val="00871058"/>
    <w:rsid w:val="0087146B"/>
    <w:rsid w:val="00873921"/>
    <w:rsid w:val="0087462C"/>
    <w:rsid w:val="008746ED"/>
    <w:rsid w:val="00874C1B"/>
    <w:rsid w:val="00875782"/>
    <w:rsid w:val="00875E95"/>
    <w:rsid w:val="008768CA"/>
    <w:rsid w:val="008779B9"/>
    <w:rsid w:val="00877EF9"/>
    <w:rsid w:val="00880559"/>
    <w:rsid w:val="008810ED"/>
    <w:rsid w:val="00882496"/>
    <w:rsid w:val="00883336"/>
    <w:rsid w:val="00883E6C"/>
    <w:rsid w:val="00884438"/>
    <w:rsid w:val="00886470"/>
    <w:rsid w:val="00886EB8"/>
    <w:rsid w:val="0089016A"/>
    <w:rsid w:val="008912A4"/>
    <w:rsid w:val="00892677"/>
    <w:rsid w:val="008969AC"/>
    <w:rsid w:val="008A082C"/>
    <w:rsid w:val="008A2373"/>
    <w:rsid w:val="008A26E8"/>
    <w:rsid w:val="008A39F1"/>
    <w:rsid w:val="008A43F2"/>
    <w:rsid w:val="008B0EB5"/>
    <w:rsid w:val="008B3112"/>
    <w:rsid w:val="008B4A26"/>
    <w:rsid w:val="008B4B5C"/>
    <w:rsid w:val="008B5306"/>
    <w:rsid w:val="008B54E8"/>
    <w:rsid w:val="008B65BB"/>
    <w:rsid w:val="008C1138"/>
    <w:rsid w:val="008C1750"/>
    <w:rsid w:val="008C18D1"/>
    <w:rsid w:val="008C2E2A"/>
    <w:rsid w:val="008C3057"/>
    <w:rsid w:val="008C4014"/>
    <w:rsid w:val="008C4094"/>
    <w:rsid w:val="008C65D0"/>
    <w:rsid w:val="008C7CEB"/>
    <w:rsid w:val="008D2E4D"/>
    <w:rsid w:val="008D3BF1"/>
    <w:rsid w:val="008D41C0"/>
    <w:rsid w:val="008D5509"/>
    <w:rsid w:val="008D5933"/>
    <w:rsid w:val="008D60B2"/>
    <w:rsid w:val="008D6DAF"/>
    <w:rsid w:val="008E02B4"/>
    <w:rsid w:val="008E1697"/>
    <w:rsid w:val="008E3B3E"/>
    <w:rsid w:val="008E45D6"/>
    <w:rsid w:val="008F024F"/>
    <w:rsid w:val="008F36F1"/>
    <w:rsid w:val="008F396F"/>
    <w:rsid w:val="008F3B80"/>
    <w:rsid w:val="008F3DCD"/>
    <w:rsid w:val="008F707D"/>
    <w:rsid w:val="008F77CE"/>
    <w:rsid w:val="00901378"/>
    <w:rsid w:val="009018E9"/>
    <w:rsid w:val="00902386"/>
    <w:rsid w:val="0090271F"/>
    <w:rsid w:val="00902DB9"/>
    <w:rsid w:val="0090466A"/>
    <w:rsid w:val="00905E5A"/>
    <w:rsid w:val="00913721"/>
    <w:rsid w:val="00914BF4"/>
    <w:rsid w:val="00915A35"/>
    <w:rsid w:val="009174EE"/>
    <w:rsid w:val="0092071A"/>
    <w:rsid w:val="00922795"/>
    <w:rsid w:val="009231C4"/>
    <w:rsid w:val="00923655"/>
    <w:rsid w:val="00924482"/>
    <w:rsid w:val="009248C6"/>
    <w:rsid w:val="00925A40"/>
    <w:rsid w:val="00926E82"/>
    <w:rsid w:val="0092741F"/>
    <w:rsid w:val="0093123F"/>
    <w:rsid w:val="009339CB"/>
    <w:rsid w:val="00934BD8"/>
    <w:rsid w:val="00935F51"/>
    <w:rsid w:val="00936071"/>
    <w:rsid w:val="00936231"/>
    <w:rsid w:val="009376CD"/>
    <w:rsid w:val="00940212"/>
    <w:rsid w:val="00942EC2"/>
    <w:rsid w:val="00945C0B"/>
    <w:rsid w:val="0094740E"/>
    <w:rsid w:val="00947583"/>
    <w:rsid w:val="00950755"/>
    <w:rsid w:val="00951570"/>
    <w:rsid w:val="009533FF"/>
    <w:rsid w:val="009541A0"/>
    <w:rsid w:val="00956213"/>
    <w:rsid w:val="00961A9E"/>
    <w:rsid w:val="00961B32"/>
    <w:rsid w:val="00961CC3"/>
    <w:rsid w:val="00962509"/>
    <w:rsid w:val="00963070"/>
    <w:rsid w:val="00963DF4"/>
    <w:rsid w:val="00970DB3"/>
    <w:rsid w:val="00971C99"/>
    <w:rsid w:val="009723D8"/>
    <w:rsid w:val="00974BB0"/>
    <w:rsid w:val="00975BCD"/>
    <w:rsid w:val="00977A03"/>
    <w:rsid w:val="009818A2"/>
    <w:rsid w:val="00981925"/>
    <w:rsid w:val="0098551B"/>
    <w:rsid w:val="00986720"/>
    <w:rsid w:val="00986C9C"/>
    <w:rsid w:val="00987CA8"/>
    <w:rsid w:val="00987DFE"/>
    <w:rsid w:val="00990ABE"/>
    <w:rsid w:val="009928A9"/>
    <w:rsid w:val="00992C2B"/>
    <w:rsid w:val="0099303D"/>
    <w:rsid w:val="009944CF"/>
    <w:rsid w:val="00995CA9"/>
    <w:rsid w:val="009A0AF3"/>
    <w:rsid w:val="009A4532"/>
    <w:rsid w:val="009B07CD"/>
    <w:rsid w:val="009B1BCA"/>
    <w:rsid w:val="009B2F53"/>
    <w:rsid w:val="009B403C"/>
    <w:rsid w:val="009B40C2"/>
    <w:rsid w:val="009B4785"/>
    <w:rsid w:val="009B4F1F"/>
    <w:rsid w:val="009B7FDD"/>
    <w:rsid w:val="009C14BD"/>
    <w:rsid w:val="009C16F6"/>
    <w:rsid w:val="009C19E9"/>
    <w:rsid w:val="009C6122"/>
    <w:rsid w:val="009C6CE3"/>
    <w:rsid w:val="009D01BD"/>
    <w:rsid w:val="009D046F"/>
    <w:rsid w:val="009D2CA0"/>
    <w:rsid w:val="009D35F4"/>
    <w:rsid w:val="009D3EB5"/>
    <w:rsid w:val="009D4074"/>
    <w:rsid w:val="009D4CA7"/>
    <w:rsid w:val="009D5A93"/>
    <w:rsid w:val="009D74A6"/>
    <w:rsid w:val="009E0498"/>
    <w:rsid w:val="009E08C0"/>
    <w:rsid w:val="009E0E87"/>
    <w:rsid w:val="009E0F1A"/>
    <w:rsid w:val="009E2E0D"/>
    <w:rsid w:val="009E389D"/>
    <w:rsid w:val="009E3CF7"/>
    <w:rsid w:val="009E671C"/>
    <w:rsid w:val="009E6855"/>
    <w:rsid w:val="009F0D32"/>
    <w:rsid w:val="009F14B6"/>
    <w:rsid w:val="009F1BFB"/>
    <w:rsid w:val="009F37B7"/>
    <w:rsid w:val="009F449E"/>
    <w:rsid w:val="009F651A"/>
    <w:rsid w:val="009F7CFF"/>
    <w:rsid w:val="00A013ED"/>
    <w:rsid w:val="00A04196"/>
    <w:rsid w:val="00A101FD"/>
    <w:rsid w:val="00A10F02"/>
    <w:rsid w:val="00A11AC8"/>
    <w:rsid w:val="00A11B6E"/>
    <w:rsid w:val="00A120DF"/>
    <w:rsid w:val="00A12388"/>
    <w:rsid w:val="00A1280B"/>
    <w:rsid w:val="00A135E3"/>
    <w:rsid w:val="00A1360A"/>
    <w:rsid w:val="00A17176"/>
    <w:rsid w:val="00A17A89"/>
    <w:rsid w:val="00A204CA"/>
    <w:rsid w:val="00A209D6"/>
    <w:rsid w:val="00A20DFA"/>
    <w:rsid w:val="00A20E8B"/>
    <w:rsid w:val="00A22738"/>
    <w:rsid w:val="00A2400A"/>
    <w:rsid w:val="00A26AAA"/>
    <w:rsid w:val="00A270F6"/>
    <w:rsid w:val="00A279AF"/>
    <w:rsid w:val="00A27D6A"/>
    <w:rsid w:val="00A309EE"/>
    <w:rsid w:val="00A320DA"/>
    <w:rsid w:val="00A32F4F"/>
    <w:rsid w:val="00A35462"/>
    <w:rsid w:val="00A359D1"/>
    <w:rsid w:val="00A36566"/>
    <w:rsid w:val="00A3693C"/>
    <w:rsid w:val="00A36F5F"/>
    <w:rsid w:val="00A37EED"/>
    <w:rsid w:val="00A40F9E"/>
    <w:rsid w:val="00A41191"/>
    <w:rsid w:val="00A41AF4"/>
    <w:rsid w:val="00A4229E"/>
    <w:rsid w:val="00A42679"/>
    <w:rsid w:val="00A430EC"/>
    <w:rsid w:val="00A4314F"/>
    <w:rsid w:val="00A51782"/>
    <w:rsid w:val="00A53724"/>
    <w:rsid w:val="00A54B2B"/>
    <w:rsid w:val="00A556D0"/>
    <w:rsid w:val="00A601CE"/>
    <w:rsid w:val="00A64477"/>
    <w:rsid w:val="00A6466D"/>
    <w:rsid w:val="00A660E7"/>
    <w:rsid w:val="00A66EA0"/>
    <w:rsid w:val="00A671CB"/>
    <w:rsid w:val="00A703B6"/>
    <w:rsid w:val="00A71F7D"/>
    <w:rsid w:val="00A7212A"/>
    <w:rsid w:val="00A7280E"/>
    <w:rsid w:val="00A7672E"/>
    <w:rsid w:val="00A77962"/>
    <w:rsid w:val="00A77EB7"/>
    <w:rsid w:val="00A82346"/>
    <w:rsid w:val="00A82C2E"/>
    <w:rsid w:val="00A82C84"/>
    <w:rsid w:val="00A8368B"/>
    <w:rsid w:val="00A8408A"/>
    <w:rsid w:val="00A844AD"/>
    <w:rsid w:val="00A844E3"/>
    <w:rsid w:val="00A845D0"/>
    <w:rsid w:val="00A851D6"/>
    <w:rsid w:val="00A85E84"/>
    <w:rsid w:val="00A87B17"/>
    <w:rsid w:val="00A87B58"/>
    <w:rsid w:val="00A90A23"/>
    <w:rsid w:val="00A90BC5"/>
    <w:rsid w:val="00A93D9E"/>
    <w:rsid w:val="00A95D43"/>
    <w:rsid w:val="00A9636E"/>
    <w:rsid w:val="00A9671C"/>
    <w:rsid w:val="00AA07C7"/>
    <w:rsid w:val="00AA14BD"/>
    <w:rsid w:val="00AA1553"/>
    <w:rsid w:val="00AA30A6"/>
    <w:rsid w:val="00AA3F28"/>
    <w:rsid w:val="00AB194C"/>
    <w:rsid w:val="00AB3037"/>
    <w:rsid w:val="00AB4D83"/>
    <w:rsid w:val="00AB4D8F"/>
    <w:rsid w:val="00AB541C"/>
    <w:rsid w:val="00AB56F4"/>
    <w:rsid w:val="00AB772B"/>
    <w:rsid w:val="00AC0C8F"/>
    <w:rsid w:val="00AC1CDE"/>
    <w:rsid w:val="00AC221D"/>
    <w:rsid w:val="00AC4183"/>
    <w:rsid w:val="00AC4AD9"/>
    <w:rsid w:val="00AC4E72"/>
    <w:rsid w:val="00AC52CA"/>
    <w:rsid w:val="00AC65A7"/>
    <w:rsid w:val="00AC7590"/>
    <w:rsid w:val="00AD026B"/>
    <w:rsid w:val="00AD139F"/>
    <w:rsid w:val="00AD3980"/>
    <w:rsid w:val="00AD434C"/>
    <w:rsid w:val="00AD57C1"/>
    <w:rsid w:val="00AD6DC9"/>
    <w:rsid w:val="00AD734F"/>
    <w:rsid w:val="00AD7E7C"/>
    <w:rsid w:val="00AE0C6A"/>
    <w:rsid w:val="00AE2361"/>
    <w:rsid w:val="00AE268B"/>
    <w:rsid w:val="00AE4E60"/>
    <w:rsid w:val="00AE51C7"/>
    <w:rsid w:val="00AE6584"/>
    <w:rsid w:val="00AE6849"/>
    <w:rsid w:val="00AF0F9D"/>
    <w:rsid w:val="00AF17FF"/>
    <w:rsid w:val="00AF1E6D"/>
    <w:rsid w:val="00AF2114"/>
    <w:rsid w:val="00AF254F"/>
    <w:rsid w:val="00AF37C1"/>
    <w:rsid w:val="00AF4009"/>
    <w:rsid w:val="00AF7572"/>
    <w:rsid w:val="00AF79FF"/>
    <w:rsid w:val="00B011FD"/>
    <w:rsid w:val="00B0146E"/>
    <w:rsid w:val="00B035E0"/>
    <w:rsid w:val="00B0411D"/>
    <w:rsid w:val="00B05380"/>
    <w:rsid w:val="00B05962"/>
    <w:rsid w:val="00B065BA"/>
    <w:rsid w:val="00B0680D"/>
    <w:rsid w:val="00B06F83"/>
    <w:rsid w:val="00B129ED"/>
    <w:rsid w:val="00B15449"/>
    <w:rsid w:val="00B15A72"/>
    <w:rsid w:val="00B15ECE"/>
    <w:rsid w:val="00B16B08"/>
    <w:rsid w:val="00B16C2F"/>
    <w:rsid w:val="00B17CA6"/>
    <w:rsid w:val="00B22EF0"/>
    <w:rsid w:val="00B23102"/>
    <w:rsid w:val="00B27303"/>
    <w:rsid w:val="00B2789E"/>
    <w:rsid w:val="00B3082E"/>
    <w:rsid w:val="00B30879"/>
    <w:rsid w:val="00B3222D"/>
    <w:rsid w:val="00B337B3"/>
    <w:rsid w:val="00B33F47"/>
    <w:rsid w:val="00B34F8D"/>
    <w:rsid w:val="00B35677"/>
    <w:rsid w:val="00B35ABE"/>
    <w:rsid w:val="00B35AEE"/>
    <w:rsid w:val="00B36265"/>
    <w:rsid w:val="00B37CBC"/>
    <w:rsid w:val="00B37D34"/>
    <w:rsid w:val="00B37DD0"/>
    <w:rsid w:val="00B40B99"/>
    <w:rsid w:val="00B43308"/>
    <w:rsid w:val="00B43D1C"/>
    <w:rsid w:val="00B45B2C"/>
    <w:rsid w:val="00B45E50"/>
    <w:rsid w:val="00B46159"/>
    <w:rsid w:val="00B47B3D"/>
    <w:rsid w:val="00B47FD1"/>
    <w:rsid w:val="00B501CF"/>
    <w:rsid w:val="00B50228"/>
    <w:rsid w:val="00B507AD"/>
    <w:rsid w:val="00B516BB"/>
    <w:rsid w:val="00B5171B"/>
    <w:rsid w:val="00B53604"/>
    <w:rsid w:val="00B54604"/>
    <w:rsid w:val="00B54848"/>
    <w:rsid w:val="00B5516D"/>
    <w:rsid w:val="00B55EEE"/>
    <w:rsid w:val="00B5751D"/>
    <w:rsid w:val="00B6239A"/>
    <w:rsid w:val="00B62A35"/>
    <w:rsid w:val="00B638A1"/>
    <w:rsid w:val="00B6594E"/>
    <w:rsid w:val="00B669E9"/>
    <w:rsid w:val="00B67732"/>
    <w:rsid w:val="00B702FA"/>
    <w:rsid w:val="00B7157B"/>
    <w:rsid w:val="00B72EBA"/>
    <w:rsid w:val="00B74B82"/>
    <w:rsid w:val="00B7538C"/>
    <w:rsid w:val="00B763BB"/>
    <w:rsid w:val="00B76B01"/>
    <w:rsid w:val="00B77A1C"/>
    <w:rsid w:val="00B8136C"/>
    <w:rsid w:val="00B82431"/>
    <w:rsid w:val="00B83B33"/>
    <w:rsid w:val="00B8422C"/>
    <w:rsid w:val="00B84BC2"/>
    <w:rsid w:val="00B84DB2"/>
    <w:rsid w:val="00B850E4"/>
    <w:rsid w:val="00B85605"/>
    <w:rsid w:val="00B87131"/>
    <w:rsid w:val="00B878C7"/>
    <w:rsid w:val="00B87C45"/>
    <w:rsid w:val="00B93486"/>
    <w:rsid w:val="00B938D5"/>
    <w:rsid w:val="00B96F30"/>
    <w:rsid w:val="00B9720E"/>
    <w:rsid w:val="00B9722D"/>
    <w:rsid w:val="00BA0212"/>
    <w:rsid w:val="00BA3C27"/>
    <w:rsid w:val="00BA4F5B"/>
    <w:rsid w:val="00BA5FB4"/>
    <w:rsid w:val="00BA6E8D"/>
    <w:rsid w:val="00BA72DF"/>
    <w:rsid w:val="00BA7DEE"/>
    <w:rsid w:val="00BB3849"/>
    <w:rsid w:val="00BB3A9C"/>
    <w:rsid w:val="00BB4E8B"/>
    <w:rsid w:val="00BB4F57"/>
    <w:rsid w:val="00BB534B"/>
    <w:rsid w:val="00BB7455"/>
    <w:rsid w:val="00BB7E40"/>
    <w:rsid w:val="00BC038F"/>
    <w:rsid w:val="00BC0A95"/>
    <w:rsid w:val="00BC0F7E"/>
    <w:rsid w:val="00BC281F"/>
    <w:rsid w:val="00BC3555"/>
    <w:rsid w:val="00BC3DCB"/>
    <w:rsid w:val="00BC48D1"/>
    <w:rsid w:val="00BC4DA6"/>
    <w:rsid w:val="00BC5476"/>
    <w:rsid w:val="00BC5F8E"/>
    <w:rsid w:val="00BC6076"/>
    <w:rsid w:val="00BC73B3"/>
    <w:rsid w:val="00BD18E9"/>
    <w:rsid w:val="00BD2C99"/>
    <w:rsid w:val="00BD56B2"/>
    <w:rsid w:val="00BD754F"/>
    <w:rsid w:val="00BE2B71"/>
    <w:rsid w:val="00BE2FAA"/>
    <w:rsid w:val="00BE30FD"/>
    <w:rsid w:val="00BE4126"/>
    <w:rsid w:val="00BE6294"/>
    <w:rsid w:val="00BF09CD"/>
    <w:rsid w:val="00BF3323"/>
    <w:rsid w:val="00BF3404"/>
    <w:rsid w:val="00BF38BC"/>
    <w:rsid w:val="00BF65CF"/>
    <w:rsid w:val="00C036C4"/>
    <w:rsid w:val="00C03DF5"/>
    <w:rsid w:val="00C064DF"/>
    <w:rsid w:val="00C06B6B"/>
    <w:rsid w:val="00C07F25"/>
    <w:rsid w:val="00C12B51"/>
    <w:rsid w:val="00C13020"/>
    <w:rsid w:val="00C146AF"/>
    <w:rsid w:val="00C21CBC"/>
    <w:rsid w:val="00C24650"/>
    <w:rsid w:val="00C247DC"/>
    <w:rsid w:val="00C25307"/>
    <w:rsid w:val="00C25465"/>
    <w:rsid w:val="00C315C3"/>
    <w:rsid w:val="00C315E9"/>
    <w:rsid w:val="00C31806"/>
    <w:rsid w:val="00C32BFD"/>
    <w:rsid w:val="00C33079"/>
    <w:rsid w:val="00C3308D"/>
    <w:rsid w:val="00C34D6F"/>
    <w:rsid w:val="00C35BE0"/>
    <w:rsid w:val="00C362BC"/>
    <w:rsid w:val="00C36630"/>
    <w:rsid w:val="00C36697"/>
    <w:rsid w:val="00C370E9"/>
    <w:rsid w:val="00C405FA"/>
    <w:rsid w:val="00C40635"/>
    <w:rsid w:val="00C424BF"/>
    <w:rsid w:val="00C42D10"/>
    <w:rsid w:val="00C43636"/>
    <w:rsid w:val="00C441A4"/>
    <w:rsid w:val="00C446E3"/>
    <w:rsid w:val="00C4608A"/>
    <w:rsid w:val="00C461E2"/>
    <w:rsid w:val="00C521F1"/>
    <w:rsid w:val="00C52F67"/>
    <w:rsid w:val="00C549F6"/>
    <w:rsid w:val="00C55A12"/>
    <w:rsid w:val="00C56674"/>
    <w:rsid w:val="00C56876"/>
    <w:rsid w:val="00C61AC5"/>
    <w:rsid w:val="00C62721"/>
    <w:rsid w:val="00C64EFE"/>
    <w:rsid w:val="00C65226"/>
    <w:rsid w:val="00C6553E"/>
    <w:rsid w:val="00C67889"/>
    <w:rsid w:val="00C710C5"/>
    <w:rsid w:val="00C73FB4"/>
    <w:rsid w:val="00C76D85"/>
    <w:rsid w:val="00C82B35"/>
    <w:rsid w:val="00C83A13"/>
    <w:rsid w:val="00C8454F"/>
    <w:rsid w:val="00C85A62"/>
    <w:rsid w:val="00C86B0A"/>
    <w:rsid w:val="00C86F10"/>
    <w:rsid w:val="00C9068C"/>
    <w:rsid w:val="00C91C57"/>
    <w:rsid w:val="00C92967"/>
    <w:rsid w:val="00C92BE9"/>
    <w:rsid w:val="00C945D7"/>
    <w:rsid w:val="00C96A46"/>
    <w:rsid w:val="00C96FE1"/>
    <w:rsid w:val="00C97863"/>
    <w:rsid w:val="00CA19DE"/>
    <w:rsid w:val="00CA3D0C"/>
    <w:rsid w:val="00CA42B3"/>
    <w:rsid w:val="00CA6390"/>
    <w:rsid w:val="00CA654B"/>
    <w:rsid w:val="00CA6AB7"/>
    <w:rsid w:val="00CA75B9"/>
    <w:rsid w:val="00CA77F5"/>
    <w:rsid w:val="00CA7BC6"/>
    <w:rsid w:val="00CB1849"/>
    <w:rsid w:val="00CB72B8"/>
    <w:rsid w:val="00CB7559"/>
    <w:rsid w:val="00CB7D0B"/>
    <w:rsid w:val="00CC00D2"/>
    <w:rsid w:val="00CC0316"/>
    <w:rsid w:val="00CC0B69"/>
    <w:rsid w:val="00CC0D8D"/>
    <w:rsid w:val="00CC282C"/>
    <w:rsid w:val="00CC4CAF"/>
    <w:rsid w:val="00CC7C26"/>
    <w:rsid w:val="00CD0BA8"/>
    <w:rsid w:val="00CD3354"/>
    <w:rsid w:val="00CD3A87"/>
    <w:rsid w:val="00CD4BD9"/>
    <w:rsid w:val="00CD4C7B"/>
    <w:rsid w:val="00CD58FE"/>
    <w:rsid w:val="00CD6EA4"/>
    <w:rsid w:val="00CE08E8"/>
    <w:rsid w:val="00CE3F1D"/>
    <w:rsid w:val="00CE429B"/>
    <w:rsid w:val="00CE42B9"/>
    <w:rsid w:val="00CE5A7E"/>
    <w:rsid w:val="00CE643D"/>
    <w:rsid w:val="00CF0CF5"/>
    <w:rsid w:val="00CF2AF8"/>
    <w:rsid w:val="00CF6442"/>
    <w:rsid w:val="00CF7D4E"/>
    <w:rsid w:val="00D02C67"/>
    <w:rsid w:val="00D04422"/>
    <w:rsid w:val="00D05158"/>
    <w:rsid w:val="00D066EF"/>
    <w:rsid w:val="00D067FC"/>
    <w:rsid w:val="00D07A02"/>
    <w:rsid w:val="00D11BD5"/>
    <w:rsid w:val="00D13AE5"/>
    <w:rsid w:val="00D15306"/>
    <w:rsid w:val="00D15902"/>
    <w:rsid w:val="00D16C0F"/>
    <w:rsid w:val="00D21D53"/>
    <w:rsid w:val="00D225EB"/>
    <w:rsid w:val="00D226BA"/>
    <w:rsid w:val="00D2291F"/>
    <w:rsid w:val="00D244C4"/>
    <w:rsid w:val="00D246FE"/>
    <w:rsid w:val="00D272E1"/>
    <w:rsid w:val="00D3055C"/>
    <w:rsid w:val="00D316A2"/>
    <w:rsid w:val="00D3369F"/>
    <w:rsid w:val="00D33BE3"/>
    <w:rsid w:val="00D33DAF"/>
    <w:rsid w:val="00D34324"/>
    <w:rsid w:val="00D35B3A"/>
    <w:rsid w:val="00D3601F"/>
    <w:rsid w:val="00D3682D"/>
    <w:rsid w:val="00D36C4F"/>
    <w:rsid w:val="00D3792D"/>
    <w:rsid w:val="00D37AE2"/>
    <w:rsid w:val="00D40C3C"/>
    <w:rsid w:val="00D4161B"/>
    <w:rsid w:val="00D4171E"/>
    <w:rsid w:val="00D42069"/>
    <w:rsid w:val="00D4214A"/>
    <w:rsid w:val="00D425CC"/>
    <w:rsid w:val="00D4306D"/>
    <w:rsid w:val="00D436E6"/>
    <w:rsid w:val="00D44228"/>
    <w:rsid w:val="00D45F10"/>
    <w:rsid w:val="00D50620"/>
    <w:rsid w:val="00D54820"/>
    <w:rsid w:val="00D556F1"/>
    <w:rsid w:val="00D55E47"/>
    <w:rsid w:val="00D56A3D"/>
    <w:rsid w:val="00D60FFC"/>
    <w:rsid w:val="00D61438"/>
    <w:rsid w:val="00D6277F"/>
    <w:rsid w:val="00D62DE2"/>
    <w:rsid w:val="00D62E19"/>
    <w:rsid w:val="00D65151"/>
    <w:rsid w:val="00D67CD1"/>
    <w:rsid w:val="00D707FC"/>
    <w:rsid w:val="00D70B21"/>
    <w:rsid w:val="00D71578"/>
    <w:rsid w:val="00D727C7"/>
    <w:rsid w:val="00D72DBF"/>
    <w:rsid w:val="00D738D6"/>
    <w:rsid w:val="00D739B6"/>
    <w:rsid w:val="00D7427E"/>
    <w:rsid w:val="00D74F6A"/>
    <w:rsid w:val="00D752F1"/>
    <w:rsid w:val="00D75C8A"/>
    <w:rsid w:val="00D77998"/>
    <w:rsid w:val="00D80795"/>
    <w:rsid w:val="00D8393B"/>
    <w:rsid w:val="00D8404B"/>
    <w:rsid w:val="00D854BE"/>
    <w:rsid w:val="00D86835"/>
    <w:rsid w:val="00D87E00"/>
    <w:rsid w:val="00D9134D"/>
    <w:rsid w:val="00D91B21"/>
    <w:rsid w:val="00D953A1"/>
    <w:rsid w:val="00D95CE3"/>
    <w:rsid w:val="00D95D04"/>
    <w:rsid w:val="00D964E2"/>
    <w:rsid w:val="00D96D11"/>
    <w:rsid w:val="00DA06FD"/>
    <w:rsid w:val="00DA1274"/>
    <w:rsid w:val="00DA237A"/>
    <w:rsid w:val="00DA25EA"/>
    <w:rsid w:val="00DA4EE4"/>
    <w:rsid w:val="00DA5EB9"/>
    <w:rsid w:val="00DA7593"/>
    <w:rsid w:val="00DA7A03"/>
    <w:rsid w:val="00DB0566"/>
    <w:rsid w:val="00DB0D43"/>
    <w:rsid w:val="00DB0DB8"/>
    <w:rsid w:val="00DB1818"/>
    <w:rsid w:val="00DB1D57"/>
    <w:rsid w:val="00DB1DE6"/>
    <w:rsid w:val="00DB274B"/>
    <w:rsid w:val="00DB3C16"/>
    <w:rsid w:val="00DB3DAC"/>
    <w:rsid w:val="00DB4A90"/>
    <w:rsid w:val="00DB6F45"/>
    <w:rsid w:val="00DB789C"/>
    <w:rsid w:val="00DB7C1C"/>
    <w:rsid w:val="00DC2945"/>
    <w:rsid w:val="00DC2E54"/>
    <w:rsid w:val="00DC309B"/>
    <w:rsid w:val="00DC4DA2"/>
    <w:rsid w:val="00DC5261"/>
    <w:rsid w:val="00DC6EBB"/>
    <w:rsid w:val="00DC7264"/>
    <w:rsid w:val="00DD0BE1"/>
    <w:rsid w:val="00DD2607"/>
    <w:rsid w:val="00DD2864"/>
    <w:rsid w:val="00DD2FFC"/>
    <w:rsid w:val="00DD4441"/>
    <w:rsid w:val="00DD4CCB"/>
    <w:rsid w:val="00DD5C96"/>
    <w:rsid w:val="00DD6D5A"/>
    <w:rsid w:val="00DD6DDD"/>
    <w:rsid w:val="00DD7BDC"/>
    <w:rsid w:val="00DE25D2"/>
    <w:rsid w:val="00DE3832"/>
    <w:rsid w:val="00DE5D29"/>
    <w:rsid w:val="00DE6051"/>
    <w:rsid w:val="00DE637B"/>
    <w:rsid w:val="00DF02C3"/>
    <w:rsid w:val="00DF15E2"/>
    <w:rsid w:val="00DF24E0"/>
    <w:rsid w:val="00DF3235"/>
    <w:rsid w:val="00DF3351"/>
    <w:rsid w:val="00DF4BB8"/>
    <w:rsid w:val="00DF5430"/>
    <w:rsid w:val="00DF7C20"/>
    <w:rsid w:val="00E008D5"/>
    <w:rsid w:val="00E02346"/>
    <w:rsid w:val="00E038FB"/>
    <w:rsid w:val="00E03BB6"/>
    <w:rsid w:val="00E04780"/>
    <w:rsid w:val="00E0494E"/>
    <w:rsid w:val="00E0657B"/>
    <w:rsid w:val="00E070F2"/>
    <w:rsid w:val="00E10570"/>
    <w:rsid w:val="00E122DF"/>
    <w:rsid w:val="00E14B13"/>
    <w:rsid w:val="00E159E3"/>
    <w:rsid w:val="00E16D53"/>
    <w:rsid w:val="00E202E2"/>
    <w:rsid w:val="00E202F6"/>
    <w:rsid w:val="00E23346"/>
    <w:rsid w:val="00E25459"/>
    <w:rsid w:val="00E2797E"/>
    <w:rsid w:val="00E3049A"/>
    <w:rsid w:val="00E3470B"/>
    <w:rsid w:val="00E354CD"/>
    <w:rsid w:val="00E35E54"/>
    <w:rsid w:val="00E40489"/>
    <w:rsid w:val="00E42DE9"/>
    <w:rsid w:val="00E446DD"/>
    <w:rsid w:val="00E45643"/>
    <w:rsid w:val="00E46C08"/>
    <w:rsid w:val="00E471CF"/>
    <w:rsid w:val="00E47C2B"/>
    <w:rsid w:val="00E47F58"/>
    <w:rsid w:val="00E509CD"/>
    <w:rsid w:val="00E5244A"/>
    <w:rsid w:val="00E55BDD"/>
    <w:rsid w:val="00E56603"/>
    <w:rsid w:val="00E62835"/>
    <w:rsid w:val="00E64285"/>
    <w:rsid w:val="00E6480E"/>
    <w:rsid w:val="00E64F7C"/>
    <w:rsid w:val="00E66C2B"/>
    <w:rsid w:val="00E67FFB"/>
    <w:rsid w:val="00E73BF0"/>
    <w:rsid w:val="00E76F8C"/>
    <w:rsid w:val="00E77645"/>
    <w:rsid w:val="00E8293B"/>
    <w:rsid w:val="00E83697"/>
    <w:rsid w:val="00E84C05"/>
    <w:rsid w:val="00E8523B"/>
    <w:rsid w:val="00E859B6"/>
    <w:rsid w:val="00E85AE8"/>
    <w:rsid w:val="00E87AC6"/>
    <w:rsid w:val="00E905D2"/>
    <w:rsid w:val="00E910BC"/>
    <w:rsid w:val="00E912DF"/>
    <w:rsid w:val="00E91B78"/>
    <w:rsid w:val="00E93879"/>
    <w:rsid w:val="00E96799"/>
    <w:rsid w:val="00EA334C"/>
    <w:rsid w:val="00EA66C9"/>
    <w:rsid w:val="00EA7317"/>
    <w:rsid w:val="00EA73BA"/>
    <w:rsid w:val="00EB32EA"/>
    <w:rsid w:val="00EB41FD"/>
    <w:rsid w:val="00EB4235"/>
    <w:rsid w:val="00EB44FB"/>
    <w:rsid w:val="00EB487A"/>
    <w:rsid w:val="00EB5D32"/>
    <w:rsid w:val="00EB7066"/>
    <w:rsid w:val="00EC00BE"/>
    <w:rsid w:val="00EC0F74"/>
    <w:rsid w:val="00EC1CEE"/>
    <w:rsid w:val="00EC26CC"/>
    <w:rsid w:val="00EC4A25"/>
    <w:rsid w:val="00EC56CF"/>
    <w:rsid w:val="00EC5BD7"/>
    <w:rsid w:val="00ED1093"/>
    <w:rsid w:val="00ED1977"/>
    <w:rsid w:val="00ED19A0"/>
    <w:rsid w:val="00ED3B44"/>
    <w:rsid w:val="00ED5A24"/>
    <w:rsid w:val="00ED76FB"/>
    <w:rsid w:val="00EE3028"/>
    <w:rsid w:val="00EE4791"/>
    <w:rsid w:val="00EE4D84"/>
    <w:rsid w:val="00EE6F85"/>
    <w:rsid w:val="00EE7620"/>
    <w:rsid w:val="00EF01BC"/>
    <w:rsid w:val="00EF05AA"/>
    <w:rsid w:val="00EF1CAB"/>
    <w:rsid w:val="00EF612C"/>
    <w:rsid w:val="00EF6EF2"/>
    <w:rsid w:val="00EF76A8"/>
    <w:rsid w:val="00F003D3"/>
    <w:rsid w:val="00F00667"/>
    <w:rsid w:val="00F025A2"/>
    <w:rsid w:val="00F036E9"/>
    <w:rsid w:val="00F0419D"/>
    <w:rsid w:val="00F05DD4"/>
    <w:rsid w:val="00F07388"/>
    <w:rsid w:val="00F10385"/>
    <w:rsid w:val="00F11852"/>
    <w:rsid w:val="00F12A06"/>
    <w:rsid w:val="00F12BD4"/>
    <w:rsid w:val="00F13C34"/>
    <w:rsid w:val="00F1632C"/>
    <w:rsid w:val="00F164F0"/>
    <w:rsid w:val="00F2026E"/>
    <w:rsid w:val="00F2069A"/>
    <w:rsid w:val="00F213B0"/>
    <w:rsid w:val="00F2210A"/>
    <w:rsid w:val="00F261EF"/>
    <w:rsid w:val="00F3012B"/>
    <w:rsid w:val="00F31372"/>
    <w:rsid w:val="00F32A0C"/>
    <w:rsid w:val="00F33E75"/>
    <w:rsid w:val="00F37743"/>
    <w:rsid w:val="00F40C2F"/>
    <w:rsid w:val="00F42493"/>
    <w:rsid w:val="00F47113"/>
    <w:rsid w:val="00F51382"/>
    <w:rsid w:val="00F52161"/>
    <w:rsid w:val="00F52F76"/>
    <w:rsid w:val="00F5428F"/>
    <w:rsid w:val="00F54761"/>
    <w:rsid w:val="00F54A3D"/>
    <w:rsid w:val="00F54CB0"/>
    <w:rsid w:val="00F579CD"/>
    <w:rsid w:val="00F61AB9"/>
    <w:rsid w:val="00F6397D"/>
    <w:rsid w:val="00F653B8"/>
    <w:rsid w:val="00F65705"/>
    <w:rsid w:val="00F66E9F"/>
    <w:rsid w:val="00F7008D"/>
    <w:rsid w:val="00F71B89"/>
    <w:rsid w:val="00F73084"/>
    <w:rsid w:val="00F73466"/>
    <w:rsid w:val="00F7346D"/>
    <w:rsid w:val="00F7353C"/>
    <w:rsid w:val="00F73BE4"/>
    <w:rsid w:val="00F764A9"/>
    <w:rsid w:val="00F76F8F"/>
    <w:rsid w:val="00F773BD"/>
    <w:rsid w:val="00F8225D"/>
    <w:rsid w:val="00F82DC4"/>
    <w:rsid w:val="00F8413A"/>
    <w:rsid w:val="00F8571C"/>
    <w:rsid w:val="00F85E69"/>
    <w:rsid w:val="00F8655D"/>
    <w:rsid w:val="00F87048"/>
    <w:rsid w:val="00F87257"/>
    <w:rsid w:val="00F927E0"/>
    <w:rsid w:val="00F93995"/>
    <w:rsid w:val="00F941DF"/>
    <w:rsid w:val="00F94D2B"/>
    <w:rsid w:val="00F952EC"/>
    <w:rsid w:val="00F97A01"/>
    <w:rsid w:val="00FA0FB6"/>
    <w:rsid w:val="00FA1266"/>
    <w:rsid w:val="00FA1E18"/>
    <w:rsid w:val="00FA2694"/>
    <w:rsid w:val="00FA3714"/>
    <w:rsid w:val="00FA516E"/>
    <w:rsid w:val="00FA5573"/>
    <w:rsid w:val="00FB0F4E"/>
    <w:rsid w:val="00FB3021"/>
    <w:rsid w:val="00FB36FA"/>
    <w:rsid w:val="00FB44E7"/>
    <w:rsid w:val="00FB4605"/>
    <w:rsid w:val="00FB6304"/>
    <w:rsid w:val="00FC063A"/>
    <w:rsid w:val="00FC1192"/>
    <w:rsid w:val="00FC4B99"/>
    <w:rsid w:val="00FD1394"/>
    <w:rsid w:val="00FD2EC9"/>
    <w:rsid w:val="00FD595E"/>
    <w:rsid w:val="00FD5AED"/>
    <w:rsid w:val="00FE0C04"/>
    <w:rsid w:val="00FE106D"/>
    <w:rsid w:val="00FE2444"/>
    <w:rsid w:val="00FE251B"/>
    <w:rsid w:val="00FE2964"/>
    <w:rsid w:val="00FE2DF4"/>
    <w:rsid w:val="00FE39FB"/>
    <w:rsid w:val="00FE5A8A"/>
    <w:rsid w:val="00FE60B0"/>
    <w:rsid w:val="00FE625F"/>
    <w:rsid w:val="00FF0582"/>
    <w:rsid w:val="00FF1473"/>
    <w:rsid w:val="00FF181A"/>
    <w:rsid w:val="00FF1C68"/>
    <w:rsid w:val="00FF336C"/>
    <w:rsid w:val="00FF3478"/>
    <w:rsid w:val="00FF36DB"/>
    <w:rsid w:val="00FF3857"/>
    <w:rsid w:val="00FF5AB0"/>
    <w:rsid w:val="00FF76BC"/>
    <w:rsid w:val="00FF7AC0"/>
    <w:rsid w:val="071105CA"/>
    <w:rsid w:val="103EF2FA"/>
    <w:rsid w:val="15044696"/>
    <w:rsid w:val="15639A36"/>
    <w:rsid w:val="164A9A61"/>
    <w:rsid w:val="1DE94943"/>
    <w:rsid w:val="301233F9"/>
    <w:rsid w:val="30C222ED"/>
    <w:rsid w:val="33A6E214"/>
    <w:rsid w:val="354F6D90"/>
    <w:rsid w:val="3AAAB070"/>
    <w:rsid w:val="4488F429"/>
    <w:rsid w:val="4755730C"/>
    <w:rsid w:val="47B6E153"/>
    <w:rsid w:val="56C73BF6"/>
    <w:rsid w:val="5B242D9F"/>
    <w:rsid w:val="5E9DCD4C"/>
    <w:rsid w:val="609DC3A6"/>
    <w:rsid w:val="648E31AB"/>
    <w:rsid w:val="77688F62"/>
    <w:rsid w:val="7A700636"/>
    <w:rsid w:val="7FC3919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5A2A7C4-CC9F-4CE8-A5F8-8452B0117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351FD"/>
    <w:pPr>
      <w:spacing w:after="180"/>
    </w:pPr>
    <w:rPr>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uiPriority w:val="39"/>
    <w:qFormat/>
    <w:rsid w:val="00735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7351FD"/>
    <w:pPr>
      <w:numPr>
        <w:numId w:val="20"/>
      </w:numPr>
    </w:pPr>
  </w:style>
  <w:style w:type="character" w:customStyle="1" w:styleId="Heading1Char">
    <w:name w:val="Heading 1 Char"/>
    <w:basedOn w:val="DefaultParagraphFont"/>
    <w:link w:val="Heading1"/>
    <w:rsid w:val="003F3317"/>
    <w:rPr>
      <w:rFonts w:ascii="Arial" w:hAnsi="Arial"/>
      <w:sz w:val="36"/>
      <w:lang w:eastAsia="en-US"/>
    </w:rPr>
  </w:style>
  <w:style w:type="character" w:styleId="CommentReference">
    <w:name w:val="annotation reference"/>
    <w:rsid w:val="00AF17FF"/>
    <w:rPr>
      <w:sz w:val="16"/>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AF17FF"/>
    <w:rPr>
      <w:lang w:eastAsia="en-US"/>
    </w:rPr>
  </w:style>
  <w:style w:type="character" w:styleId="Mention">
    <w:name w:val="Mention"/>
    <w:basedOn w:val="DefaultParagraphFont"/>
    <w:uiPriority w:val="99"/>
    <w:unhideWhenUsed/>
    <w:rsid w:val="00AF17FF"/>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B638A1"/>
    <w:rPr>
      <w:i/>
      <w:iCs/>
      <w:color w:val="44546A" w:themeColor="text2"/>
      <w:sz w:val="18"/>
      <w:szCs w:val="18"/>
      <w:lang w:val="en-US" w:eastAsia="en-US"/>
    </w:rPr>
  </w:style>
  <w:style w:type="paragraph" w:styleId="Revision">
    <w:name w:val="Revision"/>
    <w:hidden/>
    <w:uiPriority w:val="99"/>
    <w:semiHidden/>
    <w:rsid w:val="00A42679"/>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235720">
      <w:bodyDiv w:val="1"/>
      <w:marLeft w:val="0"/>
      <w:marRight w:val="0"/>
      <w:marTop w:val="0"/>
      <w:marBottom w:val="0"/>
      <w:divBdr>
        <w:top w:val="none" w:sz="0" w:space="0" w:color="auto"/>
        <w:left w:val="none" w:sz="0" w:space="0" w:color="auto"/>
        <w:bottom w:val="none" w:sz="0" w:space="0" w:color="auto"/>
        <w:right w:val="none" w:sz="0" w:space="0" w:color="auto"/>
      </w:divBdr>
    </w:div>
    <w:div w:id="709034438">
      <w:bodyDiv w:val="1"/>
      <w:marLeft w:val="0"/>
      <w:marRight w:val="0"/>
      <w:marTop w:val="0"/>
      <w:marBottom w:val="0"/>
      <w:divBdr>
        <w:top w:val="none" w:sz="0" w:space="0" w:color="auto"/>
        <w:left w:val="none" w:sz="0" w:space="0" w:color="auto"/>
        <w:bottom w:val="none" w:sz="0" w:space="0" w:color="auto"/>
        <w:right w:val="none" w:sz="0" w:space="0" w:color="auto"/>
      </w:divBdr>
    </w:div>
    <w:div w:id="87137819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8064641">
      <w:bodyDiv w:val="1"/>
      <w:marLeft w:val="0"/>
      <w:marRight w:val="0"/>
      <w:marTop w:val="0"/>
      <w:marBottom w:val="0"/>
      <w:divBdr>
        <w:top w:val="none" w:sz="0" w:space="0" w:color="auto"/>
        <w:left w:val="none" w:sz="0" w:space="0" w:color="auto"/>
        <w:bottom w:val="none" w:sz="0" w:space="0" w:color="auto"/>
        <w:right w:val="none" w:sz="0" w:space="0" w:color="auto"/>
      </w:divBdr>
    </w:div>
    <w:div w:id="118181518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12506564">
      <w:bodyDiv w:val="1"/>
      <w:marLeft w:val="0"/>
      <w:marRight w:val="0"/>
      <w:marTop w:val="0"/>
      <w:marBottom w:val="0"/>
      <w:divBdr>
        <w:top w:val="none" w:sz="0" w:space="0" w:color="auto"/>
        <w:left w:val="none" w:sz="0" w:space="0" w:color="auto"/>
        <w:bottom w:val="none" w:sz="0" w:space="0" w:color="auto"/>
        <w:right w:val="none" w:sz="0" w:space="0" w:color="auto"/>
      </w:divBdr>
    </w:div>
    <w:div w:id="1434008143">
      <w:bodyDiv w:val="1"/>
      <w:marLeft w:val="0"/>
      <w:marRight w:val="0"/>
      <w:marTop w:val="0"/>
      <w:marBottom w:val="0"/>
      <w:divBdr>
        <w:top w:val="none" w:sz="0" w:space="0" w:color="auto"/>
        <w:left w:val="none" w:sz="0" w:space="0" w:color="auto"/>
        <w:bottom w:val="none" w:sz="0" w:space="0" w:color="auto"/>
        <w:right w:val="none" w:sz="0" w:space="0" w:color="auto"/>
      </w:divBdr>
      <w:divsChild>
        <w:div w:id="232160226">
          <w:marLeft w:val="547"/>
          <w:marRight w:val="0"/>
          <w:marTop w:val="0"/>
          <w:marBottom w:val="120"/>
          <w:divBdr>
            <w:top w:val="none" w:sz="0" w:space="0" w:color="auto"/>
            <w:left w:val="none" w:sz="0" w:space="0" w:color="auto"/>
            <w:bottom w:val="none" w:sz="0" w:space="0" w:color="auto"/>
            <w:right w:val="none" w:sz="0" w:space="0" w:color="auto"/>
          </w:divBdr>
        </w:div>
        <w:div w:id="1755737641">
          <w:marLeft w:val="1166"/>
          <w:marRight w:val="0"/>
          <w:marTop w:val="0"/>
          <w:marBottom w:val="120"/>
          <w:divBdr>
            <w:top w:val="none" w:sz="0" w:space="0" w:color="auto"/>
            <w:left w:val="none" w:sz="0" w:space="0" w:color="auto"/>
            <w:bottom w:val="none" w:sz="0" w:space="0" w:color="auto"/>
            <w:right w:val="none" w:sz="0" w:space="0" w:color="auto"/>
          </w:divBdr>
        </w:div>
      </w:divsChild>
    </w:div>
    <w:div w:id="1434281341">
      <w:bodyDiv w:val="1"/>
      <w:marLeft w:val="0"/>
      <w:marRight w:val="0"/>
      <w:marTop w:val="0"/>
      <w:marBottom w:val="0"/>
      <w:divBdr>
        <w:top w:val="none" w:sz="0" w:space="0" w:color="auto"/>
        <w:left w:val="none" w:sz="0" w:space="0" w:color="auto"/>
        <w:bottom w:val="none" w:sz="0" w:space="0" w:color="auto"/>
        <w:right w:val="none" w:sz="0" w:space="0" w:color="auto"/>
      </w:divBdr>
    </w:div>
    <w:div w:id="1444417743">
      <w:bodyDiv w:val="1"/>
      <w:marLeft w:val="0"/>
      <w:marRight w:val="0"/>
      <w:marTop w:val="0"/>
      <w:marBottom w:val="0"/>
      <w:divBdr>
        <w:top w:val="none" w:sz="0" w:space="0" w:color="auto"/>
        <w:left w:val="none" w:sz="0" w:space="0" w:color="auto"/>
        <w:bottom w:val="none" w:sz="0" w:space="0" w:color="auto"/>
        <w:right w:val="none" w:sz="0" w:space="0" w:color="auto"/>
      </w:divBdr>
    </w:div>
    <w:div w:id="1671365793">
      <w:bodyDiv w:val="1"/>
      <w:marLeft w:val="0"/>
      <w:marRight w:val="0"/>
      <w:marTop w:val="0"/>
      <w:marBottom w:val="0"/>
      <w:divBdr>
        <w:top w:val="none" w:sz="0" w:space="0" w:color="auto"/>
        <w:left w:val="none" w:sz="0" w:space="0" w:color="auto"/>
        <w:bottom w:val="none" w:sz="0" w:space="0" w:color="auto"/>
        <w:right w:val="none" w:sz="0" w:space="0" w:color="auto"/>
      </w:divBdr>
    </w:div>
    <w:div w:id="205379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RBI5PAMIO524-1616901215-37248</_dlc_DocId>
    <_dlc_DocIdUrl xmlns="71c5aaf6-e6ce-465b-b873-5148d2a4c105">
      <Url>https://nokia.sharepoint.com/sites/gxp/_layouts/15/DocIdRedir.aspx?ID=RBI5PAMIO524-1616901215-37248</Url>
      <Description>RBI5PAMIO524-1616901215-37248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AF8EDF73-4F15-4C1B-9414-4455290102CD}">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023F088E-DEA2-44F1-8854-203F62372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1712</TotalTime>
  <Pages>1</Pages>
  <Words>3047</Words>
  <Characters>17368</Characters>
  <Application>Microsoft Office Word</Application>
  <DocSecurity>4</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Mads Lauridsen (Nokia)</cp:lastModifiedBy>
  <cp:revision>119</cp:revision>
  <dcterms:created xsi:type="dcterms:W3CDTF">2025-01-17T14:07:00Z</dcterms:created>
  <dcterms:modified xsi:type="dcterms:W3CDTF">2025-02-06T09:32:00Z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ffb31b2d-744e-49a9-9ac1-d5cc365bbe2b</vt:lpwstr>
  </property>
</Properties>
</file>